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79A" w:rsidRDefault="00BC179A">
      <w:pPr>
        <w:pStyle w:val="newncpi0"/>
        <w:jc w:val="center"/>
      </w:pPr>
      <w:r>
        <w:rPr>
          <w:rStyle w:val="name"/>
        </w:rPr>
        <w:t>ПОСТАНОВЛЕНИЕ </w:t>
      </w:r>
      <w:r>
        <w:rPr>
          <w:rStyle w:val="promulgator"/>
        </w:rPr>
        <w:t>МИНИСТЕРСТВА АНТИМОНОПОЛЬНОГО РЕГУЛИРОВАНИЯ И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w:t>
      </w:r>
    </w:p>
    <w:p w:rsidR="00BC179A" w:rsidRDefault="00BC179A">
      <w:pPr>
        <w:pStyle w:val="newncpi"/>
        <w:ind w:firstLine="0"/>
        <w:jc w:val="center"/>
      </w:pPr>
      <w:r>
        <w:rPr>
          <w:rStyle w:val="datepr"/>
        </w:rPr>
        <w:t>5 августа 2019 г.</w:t>
      </w:r>
      <w:r>
        <w:rPr>
          <w:rStyle w:val="number"/>
        </w:rPr>
        <w:t xml:space="preserve"> № 64/30/81/47</w:t>
      </w:r>
    </w:p>
    <w:p w:rsidR="00BC179A" w:rsidRDefault="00BC179A">
      <w:pPr>
        <w:pStyle w:val="titlencpi"/>
      </w:pPr>
      <w:r>
        <w:t>О порядке подтверждения наличия у субъектов торговли, субъектов общественного питания документов, подтверждающих качество и безопасность товаров при их продаже</w:t>
      </w:r>
    </w:p>
    <w:p w:rsidR="00BC179A" w:rsidRDefault="00BC179A">
      <w:pPr>
        <w:pStyle w:val="changei"/>
      </w:pPr>
      <w:r>
        <w:t>Изменения и дополнения:</w:t>
      </w:r>
    </w:p>
    <w:p w:rsidR="00BC179A" w:rsidRDefault="00BC179A">
      <w:pPr>
        <w:pStyle w:val="changeadd"/>
      </w:pPr>
      <w:r>
        <w:t>Постановление Министерства антимонопольного регулирования и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10 июня 2021 г. № 44/38/82/67 (зарегистрировано в Национальном реестре - № 8/36852 от 25.06.2021 г.) &lt;W22136852&gt;</w:t>
      </w:r>
    </w:p>
    <w:p w:rsidR="00BC179A" w:rsidRDefault="00BC179A">
      <w:pPr>
        <w:pStyle w:val="newncpi"/>
      </w:pPr>
      <w:r>
        <w:t> </w:t>
      </w:r>
    </w:p>
    <w:p w:rsidR="00BC179A" w:rsidRDefault="00BC179A">
      <w:pPr>
        <w:pStyle w:val="preamble"/>
      </w:pPr>
      <w:proofErr w:type="gramStart"/>
      <w:r>
        <w:t>На основании абзаца четвертого подпункта 1.10 пункта 1 статьи 7 Закона Республики Беларусь от 8 января 2014 г. № 128-З «О государственном регулировании торговли и общественного питания», абзаца четвертого подпункта 6.22 и подпункта 6.49 пункта 6 Положения о Министерстве антимонопольного регулирования и торговли Республики Беларусь, утвержденного постановлением Совета Министров Республики Беларусь от 6 сентября 2016 г. № 702, подпункта 5.1 пункта 5</w:t>
      </w:r>
      <w:proofErr w:type="gramEnd"/>
      <w:r>
        <w:t xml:space="preserve"> Положения о Министерстве сельского хозяйства и продовольствия Республики Беларусь, утвержденного постановлением Совета Министров Республики Беларусь от 29 июня 2011 г. № 867, подпункта 9.1 пункта 9 Положения о Министерстве здравоохранения Республики Беларусь, утвержденного постановлением Совета Министров Республики Беларусь от 28 октября 2011 г. № 1446, подпункта 6.1 пункта 6 Положения </w:t>
      </w:r>
      <w:proofErr w:type="gramStart"/>
      <w:r>
        <w:t>о</w:t>
      </w:r>
      <w:proofErr w:type="gramEnd"/>
      <w:r>
        <w:t xml:space="preserve"> Государственном </w:t>
      </w:r>
      <w:proofErr w:type="gramStart"/>
      <w:r>
        <w:t>комитете</w:t>
      </w:r>
      <w:proofErr w:type="gramEnd"/>
      <w:r>
        <w:t xml:space="preserve"> по стандартизации Республики Беларусь, утвержденного постановлением Совета Министров Республики Беларусь от 31 июля 2006 г. № 981, Министерство антимонопольного регулирования и торговли Республики Беларусь, Министерство сельского хозяйства и продовольствия Республики Беларусь, Министерство здравоохранения Республики Беларусь и Государственный комитет по стандартизации Республики Беларусь ПОСТАНОВЛЯЮТ:</w:t>
      </w:r>
    </w:p>
    <w:p w:rsidR="00BC179A" w:rsidRDefault="00BC179A">
      <w:pPr>
        <w:pStyle w:val="point"/>
      </w:pPr>
      <w:r>
        <w:t>1. Установить, что:</w:t>
      </w:r>
    </w:p>
    <w:p w:rsidR="00BC179A" w:rsidRDefault="00BC179A">
      <w:pPr>
        <w:pStyle w:val="underpoint"/>
      </w:pPr>
      <w:r>
        <w:t>1.1. субъекты торговли, субъекты общественного питания* подтверждают прохождение процедур обязательной оценки соответствия и наличие документов, подтверждающих качество и безопасность товаров, при их продаже в розничных торговых объектах, объектах общественного питания, на торговых местах следующими способами:</w:t>
      </w:r>
    </w:p>
    <w:p w:rsidR="00BC179A" w:rsidRDefault="00BC179A">
      <w:pPr>
        <w:pStyle w:val="underpoint"/>
      </w:pPr>
      <w:r>
        <w:t xml:space="preserve">1.1.1. для товаров, подлежащих обязательной сертификации, наличие </w:t>
      </w:r>
      <w:proofErr w:type="gramStart"/>
      <w:r>
        <w:t>сертификата соответствия Национальной системы подтверждения соответствия Республики</w:t>
      </w:r>
      <w:proofErr w:type="gramEnd"/>
      <w:r>
        <w:t xml:space="preserve"> Беларусь либо предусмотренного Договором о Евразийском экономическом союзе от 29 мая 2014 года (далее – Договор о Евразийском экономическом союзе) сертификата соответствия, оформленного по единой форме (далее – сертификат соответствия), подтверждается одним из следующих способов:</w:t>
      </w:r>
    </w:p>
    <w:p w:rsidR="00BC179A" w:rsidRDefault="00BC179A">
      <w:pPr>
        <w:pStyle w:val="newncpi"/>
      </w:pPr>
      <w:r>
        <w:t>подлинником сертификата соответствия;</w:t>
      </w:r>
    </w:p>
    <w:p w:rsidR="00BC179A" w:rsidRDefault="00BC179A">
      <w:pPr>
        <w:pStyle w:val="newncpi"/>
      </w:pPr>
      <w:r>
        <w:lastRenderedPageBreak/>
        <w:t>копией сертификата соответствия, выполненной на бланках с определенной степенью защиты, заверенной выдавшим сертификат соответствия органом по сертификации;</w:t>
      </w:r>
    </w:p>
    <w:p w:rsidR="00BC179A" w:rsidRDefault="00BC179A">
      <w:pPr>
        <w:pStyle w:val="newncpi"/>
      </w:pPr>
      <w:r>
        <w:t>ксерокопией сертификата соответствия, выполненной с его подлинника или копии, заверенной подписью руководителя юридического лица (уполномоченного им должностного лица) или индивидуального предпринимателя, являющимися поставщиками товаров;</w:t>
      </w:r>
    </w:p>
    <w:p w:rsidR="00BC179A" w:rsidRDefault="00BC179A">
      <w:pPr>
        <w:pStyle w:val="newncpi"/>
      </w:pPr>
      <w:proofErr w:type="gramStart"/>
      <w:r>
        <w:t>наличием на товаре и (или) на его потребительской упаковке маркировки знаком соответствия Национальной системы подтверждения соответствия Республики Беларусь с указанием регистрационного номера сертификата соответствия, дат регистрации и окончания (прекращения) его действия (срока его действия), полного наименования, места нахождения и адреса (адресов) места осуществления деятельности (в случае если адреса различаются) органа по сертификации, выдавшего сертификат соответствия;</w:t>
      </w:r>
      <w:proofErr w:type="gramEnd"/>
    </w:p>
    <w:p w:rsidR="00BC179A" w:rsidRDefault="00BC179A">
      <w:pPr>
        <w:pStyle w:val="newncpi"/>
      </w:pPr>
      <w:proofErr w:type="gramStart"/>
      <w:r>
        <w:t>указанием в сопроводительных документах, подтверждающих приобретение (поступление) товаров, и (или) технических паспортах, и (или) инструкциях по эксплуатации, и (или) иной сопроводительной документации на партию продукции или прилагаемой к каждой единице товара по каждому наименованию товара регистрационного номера сертификата соответствия, дат регистрации и окончания (прекращения) его действия (срока его действия), полного наименования, места нахождения и адреса (адресов) места осуществления деятельности (в</w:t>
      </w:r>
      <w:proofErr w:type="gramEnd"/>
      <w:r>
        <w:t xml:space="preserve"> </w:t>
      </w:r>
      <w:proofErr w:type="gramStart"/>
      <w:r>
        <w:t>случае</w:t>
      </w:r>
      <w:proofErr w:type="gramEnd"/>
      <w:r>
        <w:t xml:space="preserve"> если адреса различаются) органа по сертификации, выдавшего сертификат соответствия, если эти сведения не указаны на товаре или его потребительской таре.</w:t>
      </w:r>
    </w:p>
    <w:p w:rsidR="00BC179A" w:rsidRDefault="00BC179A">
      <w:pPr>
        <w:pStyle w:val="newncpi"/>
      </w:pPr>
      <w:r>
        <w:t>Копии (ксерокопии) сертификатов соответствия, полученные от поставщика товаров с первой поставкой товаров из партии (от объема серийного производства), на которую распространяются указанные сертификаты соответствия, могут использоваться для подтверждения прохождения процедур обязательной оценки соответствия и наличия сертификата соответствия при последующих поставках товаров из указанной партии (от объема серийного производства);</w:t>
      </w:r>
    </w:p>
    <w:p w:rsidR="00BC179A" w:rsidRDefault="00BC179A">
      <w:pPr>
        <w:pStyle w:val="snoskiline"/>
      </w:pPr>
      <w:r>
        <w:t>______________________________</w:t>
      </w:r>
    </w:p>
    <w:p w:rsidR="00BC179A" w:rsidRDefault="00BC179A">
      <w:pPr>
        <w:pStyle w:val="snoski"/>
        <w:spacing w:after="240"/>
      </w:pPr>
      <w:r>
        <w:t>* Для целей настоящего постановления термины «субъект общественного питания», «субъект торговли» используются в значениях, определенных подпунктами 1.27 и 1.28 пункта 1 статьи 1 Закона Республики Беларусь «О государственном регулировании торговли и общественного питания».</w:t>
      </w:r>
    </w:p>
    <w:p w:rsidR="00BC179A" w:rsidRDefault="00BC179A">
      <w:pPr>
        <w:pStyle w:val="underpoint"/>
      </w:pPr>
      <w:r>
        <w:t>1.1.2. для товаров, подлежащих декларированию соответствия, наличие декларации о соответствии Национальной системы подтверждения соответствия Республики Беларусь либо предусмотренной Договором о Евразийском экономическом союзе декларации о соответствии, оформленной по единой форме (далее – декларация о соответствии), подтверждается одним из следующих способов:</w:t>
      </w:r>
    </w:p>
    <w:p w:rsidR="00BC179A" w:rsidRDefault="00BC179A">
      <w:pPr>
        <w:pStyle w:val="newncpi"/>
      </w:pPr>
      <w:r>
        <w:t>подлинником декларации о соответствии;</w:t>
      </w:r>
    </w:p>
    <w:p w:rsidR="00BC179A" w:rsidRDefault="00BC179A">
      <w:pPr>
        <w:pStyle w:val="newncpi"/>
      </w:pPr>
      <w:r>
        <w:t>копией декларации о соответствии, заверенной лицом, принимающим декларацию о соответствии;</w:t>
      </w:r>
    </w:p>
    <w:p w:rsidR="00BC179A" w:rsidRDefault="00BC179A">
      <w:pPr>
        <w:pStyle w:val="newncpi"/>
      </w:pPr>
      <w:r>
        <w:t>ксерокопией декларации о соответствии, выполненной с ее подлинника или копии, заверенной подписью руководителя юридического лица (уполномоченного им должностного лица) или индивидуального предпринимателя, являющимися поставщиками товаров;</w:t>
      </w:r>
    </w:p>
    <w:p w:rsidR="00BC179A" w:rsidRDefault="00BC179A">
      <w:pPr>
        <w:pStyle w:val="newncpi"/>
      </w:pPr>
      <w:proofErr w:type="gramStart"/>
      <w:r>
        <w:t>указанием в сопроводительных документах, подтверждающих приобретение (поступление) товаров, и (или) технических паспортах, и (или) инструкциях по эксплуатации, и (или) иной сопроводительной документации на партию продукции или прилагаемой к каждой единице товара по каждому наименованию товара регистрационного номера декларации о соответствии, даты ее регистрации, полного наименования лица, принимающего декларацию о соответствии, его места нахождения и адреса (адресов) места осуществления деятельности (в</w:t>
      </w:r>
      <w:proofErr w:type="gramEnd"/>
      <w:r>
        <w:t xml:space="preserve"> </w:t>
      </w:r>
      <w:proofErr w:type="gramStart"/>
      <w:r>
        <w:t xml:space="preserve">случае если адреса различаются) – для юридического лица или фамилии, собственного имени, отчества (если </w:t>
      </w:r>
      <w:r>
        <w:lastRenderedPageBreak/>
        <w:t>таковое имеется), адреса места жительства и адреса (адресов) места осуществления деятельности (в случае если адреса различаются) – для индивидуального предпринимателя;</w:t>
      </w:r>
      <w:proofErr w:type="gramEnd"/>
    </w:p>
    <w:p w:rsidR="00BC179A" w:rsidRDefault="00BC179A">
      <w:pPr>
        <w:pStyle w:val="newncpi"/>
      </w:pPr>
      <w:proofErr w:type="gramStart"/>
      <w:r>
        <w:t>наличием на товаре и (или) его потребительской упаковке маркировки знаком соответствия Национальной системы подтверждения соответствия Республики Беларусь с указанием регистрационного номера декларации о соответствии, даты ее регистрации, полного наименования лица, принимающего декларацию о соответствии, его места нахождения и адреса (адресов) места осуществления деятельности (в случае если адреса различаются) – для юридического лица или фамилии, собственного имени, отчества (если таковое имеется), адреса</w:t>
      </w:r>
      <w:proofErr w:type="gramEnd"/>
      <w:r>
        <w:t xml:space="preserve"> места жительства и адреса (адресов) места осуществления деятельности (в случае если адреса различаются) – для индивидуального предпринимателя.</w:t>
      </w:r>
    </w:p>
    <w:p w:rsidR="00BC179A" w:rsidRDefault="00BC179A">
      <w:pPr>
        <w:pStyle w:val="newncpi"/>
      </w:pPr>
      <w:proofErr w:type="gramStart"/>
      <w:r>
        <w:t>Копии (ксерокопии) деклараций о соответствии, полученные от поставщика товаров с первой поставкой товаров из партии (от объема серийного производства), на которую распространяются указанные декларации о соответствии, могут использоваться для подтверждения прохождения процедур обязательной оценки соответствия и наличия декларации о соответствии при последующих поставках товаров из указанной партии (от объема серийного производства);</w:t>
      </w:r>
      <w:proofErr w:type="gramEnd"/>
    </w:p>
    <w:p w:rsidR="00BC179A" w:rsidRDefault="00BC179A">
      <w:pPr>
        <w:pStyle w:val="underpoint"/>
      </w:pPr>
      <w:r>
        <w:t>1.1.3. для товаров, безопасность которых подтверждается свидетельством о государственной регистрации, выданным по единой форме, установленной решением Коллегии Евразийской экономической комиссии, его наличие подтверждается одним из следующих способов:</w:t>
      </w:r>
    </w:p>
    <w:p w:rsidR="00BC179A" w:rsidRDefault="00BC179A">
      <w:pPr>
        <w:pStyle w:val="newncpi"/>
      </w:pPr>
      <w:r>
        <w:t>оригиналом свидетельства о государственной регистрации;</w:t>
      </w:r>
    </w:p>
    <w:p w:rsidR="00BC179A" w:rsidRDefault="00BC179A">
      <w:pPr>
        <w:pStyle w:val="newncpi"/>
      </w:pPr>
      <w:r>
        <w:t>копией свидетельства о государственной регистрации, заверенной выдавшим его органом или получателем указанного документа;</w:t>
      </w:r>
    </w:p>
    <w:p w:rsidR="00BC179A" w:rsidRDefault="00BC179A">
      <w:pPr>
        <w:pStyle w:val="newncpi"/>
      </w:pPr>
      <w:r>
        <w:t>выпиской из Реестра свидетельств о государственной регистрации на товары, подлежащие санитарно-эпидемиологическому надзору (контролю) на таможенной границе и таможенной территории Евразийского экономического союза (далее – Реестр свидетельств о государственной регистрации), с указанием реквизитов документа, подтверждающего безопасность продукции (товаров), наименований продукции (товаров), изготовителя, получателя и органа, выдавшего свидетельство о государственной регистрации;</w:t>
      </w:r>
    </w:p>
    <w:p w:rsidR="00BC179A" w:rsidRDefault="00BC179A">
      <w:pPr>
        <w:pStyle w:val="newncpi"/>
      </w:pPr>
      <w:r>
        <w:t>электронной формой свидетельства о государственной регистрации, заверенной электронной цифровой подписью;</w:t>
      </w:r>
    </w:p>
    <w:p w:rsidR="00BC179A" w:rsidRDefault="00BC179A">
      <w:pPr>
        <w:pStyle w:val="newncpi"/>
      </w:pPr>
      <w:r>
        <w:t>сведениями электронной базы данных Реестра свидетельств о государственной регистрации на специализированном поисковом сервере сайта Евразийского экономического союза в глобальной компьютерной сети Интернет;</w:t>
      </w:r>
    </w:p>
    <w:p w:rsidR="00BC179A" w:rsidRDefault="00BC179A">
      <w:pPr>
        <w:pStyle w:val="newncpi"/>
      </w:pPr>
      <w:proofErr w:type="gramStart"/>
      <w:r>
        <w:t>указанием в документах, подтверждающих приобретение (поступление) товаров, и (или) иной сопроводительной документации номера и даты выдачи свидетельства о государственной регистрации (при наличии сведений в Реестре свидетельств о государственной регистрации или национальных реестрах свидетельств о государственной регистрации органов государств – членов Евразийского экономического союза, ответственных за ведение этих реестров (далее – национальные реестры Сторон);</w:t>
      </w:r>
      <w:proofErr w:type="gramEnd"/>
    </w:p>
    <w:p w:rsidR="00BC179A" w:rsidRDefault="00BC179A">
      <w:pPr>
        <w:pStyle w:val="newncpi"/>
      </w:pPr>
      <w:r>
        <w:t>наличием на товаре и (или) его потребительской упаковке номера и даты выдачи свидетельства о государственной регистрации (при наличии сведений в Реестре свидетельств о государственной регистрации или национальных реестрах Сторон);</w:t>
      </w:r>
    </w:p>
    <w:p w:rsidR="00BC179A" w:rsidRDefault="00BC179A">
      <w:pPr>
        <w:pStyle w:val="underpoint"/>
      </w:pPr>
      <w:r>
        <w:t>1.1.4. для товаров, подлежащих государственной санитарно-гигиенической экспертизе, наличие санитарно-гигиенического заключения подтверждается одним из следующих способов:</w:t>
      </w:r>
    </w:p>
    <w:p w:rsidR="00BC179A" w:rsidRDefault="00BC179A">
      <w:pPr>
        <w:pStyle w:val="newncpi"/>
      </w:pPr>
      <w:r>
        <w:t>подлинником санитарно-гигиенического заключения;</w:t>
      </w:r>
    </w:p>
    <w:p w:rsidR="00BC179A" w:rsidRDefault="00BC179A">
      <w:pPr>
        <w:pStyle w:val="newncpi"/>
      </w:pPr>
      <w:r>
        <w:t>копией санитарно-гигиенического заключения, заверенной выдавшим его органом;</w:t>
      </w:r>
    </w:p>
    <w:p w:rsidR="00BC179A" w:rsidRDefault="00BC179A">
      <w:pPr>
        <w:pStyle w:val="newncpi"/>
      </w:pPr>
      <w:proofErr w:type="gramStart"/>
      <w:r>
        <w:lastRenderedPageBreak/>
        <w:t>указанием в сопроводительных документах, подтверждающих приобретение (поступление) товаров, и (или) технических паспортах, и (или) инструкциях по эксплуатации, и (или) иной сопроводительной документации на партию продукции или прилагаемой к каждой единице товара по каждому наименованию товара регистрационного номера санитарно-гигиенического заключения и срока его действия, а также наименования, адреса и телефона юридического лица или индивидуального предпринимателя – держателя санитарно-гигиенического заключения;</w:t>
      </w:r>
      <w:proofErr w:type="gramEnd"/>
    </w:p>
    <w:p w:rsidR="00BC179A" w:rsidRDefault="00BC179A">
      <w:pPr>
        <w:pStyle w:val="newncpi"/>
      </w:pPr>
      <w:proofErr w:type="gramStart"/>
      <w:r>
        <w:t>наличием на товаре и (или) его потребительской упаковке маркировки номером санитарно-гигиенического заключения с указанием в документах, подтверждающих приобретение (поступление) товаров, и (или) удостоверениях качества и безопасности продовольственного сырья и пищевых продуктов, и (или) технических паспортах, и (или) инструкциях по эксплуатации, и (или) иной сопроводительной документации на партию продукции или прилагаемой к каждой единице товара по каждому наименованию регистрационного номера санитарно-гигиенического</w:t>
      </w:r>
      <w:proofErr w:type="gramEnd"/>
      <w:r>
        <w:t xml:space="preserve"> заключения и срока его действия;</w:t>
      </w:r>
    </w:p>
    <w:p w:rsidR="00BC179A" w:rsidRDefault="00BC179A">
      <w:pPr>
        <w:pStyle w:val="underpoint"/>
      </w:pPr>
      <w:r>
        <w:t>1.1.5. для товаров, подлежащих ветеринарному контролю (надзору), наличие ветеринарных документов подтверждается одним из следующих способов:</w:t>
      </w:r>
    </w:p>
    <w:p w:rsidR="00BC179A" w:rsidRDefault="00BC179A">
      <w:pPr>
        <w:pStyle w:val="newncpi"/>
      </w:pPr>
      <w:r>
        <w:t>подлинниками ветеринарных документов;</w:t>
      </w:r>
    </w:p>
    <w:p w:rsidR="00BC179A" w:rsidRDefault="00BC179A">
      <w:pPr>
        <w:pStyle w:val="newncpi"/>
      </w:pPr>
      <w:r>
        <w:t>копиями ветеринарных документов, заверенными уполномоченными органами в области ветеринарии в месте назначения товаров, подлежащих ветеринарному контролю (надзору), в случае дробления партии товаров;</w:t>
      </w:r>
    </w:p>
    <w:p w:rsidR="00BC179A" w:rsidRDefault="00BC179A">
      <w:pPr>
        <w:pStyle w:val="newncpi"/>
      </w:pPr>
      <w:r>
        <w:t>ветеринарными документами, оформленными в электронном виде;</w:t>
      </w:r>
    </w:p>
    <w:p w:rsidR="00BC179A" w:rsidRDefault="00BC179A">
      <w:pPr>
        <w:pStyle w:val="underpoint"/>
      </w:pPr>
      <w:r>
        <w:t>1.1.6. для средств защиты растений наличие документа, подтверждающего качество средства защиты растений, выданного производителем, подтверждается одним из следующих способов:</w:t>
      </w:r>
    </w:p>
    <w:p w:rsidR="00BC179A" w:rsidRDefault="00BC179A">
      <w:pPr>
        <w:pStyle w:val="newncpi"/>
      </w:pPr>
      <w:r>
        <w:t>подлинником документа, подтверждающего качество средства защиты растений;</w:t>
      </w:r>
    </w:p>
    <w:p w:rsidR="00BC179A" w:rsidRDefault="00BC179A">
      <w:pPr>
        <w:pStyle w:val="newncpi"/>
      </w:pPr>
      <w:r>
        <w:t>копией документа, подтверждающего качество средства защиты растений, заверенной подписью руководителя юридического лица (уполномоченного им должностного лица) или индивидуального предпринимателя, являющимися поставщиками товаров.</w:t>
      </w:r>
    </w:p>
    <w:p w:rsidR="00BC179A" w:rsidRDefault="00BC179A">
      <w:pPr>
        <w:pStyle w:val="newncpi"/>
      </w:pPr>
      <w:proofErr w:type="gramStart"/>
      <w:r>
        <w:t>Копии документа, подтверждающего качество средства защиты растений, полученные от конкретного поставщика товаров с первой поставкой товаров из партии (от объема серийного производства), на которую распространяются указанные документы, могут использоваться для подтверждения прохождения процедур обязательной оценки соответствия и наличия документа, подтверждающего качество средства защиты растений, при последующих поставках товаров из указанной партии (от объема серийного производства);</w:t>
      </w:r>
      <w:proofErr w:type="gramEnd"/>
    </w:p>
    <w:p w:rsidR="00BC179A" w:rsidRDefault="00BC179A">
      <w:pPr>
        <w:pStyle w:val="underpoint"/>
      </w:pPr>
      <w:r>
        <w:t>1.1.7. для семян сельскохозяйственных растений, произведенных в Республике Беларусь, а также ввезенных на территорию Республики Беларусь с территории государства, не являющего членом Евразийского экономического союза, наличие документов, подтверждающих качество семян сельскохозяйственных растений, подтверждается одним из следующих способов:</w:t>
      </w:r>
    </w:p>
    <w:p w:rsidR="00BC179A" w:rsidRDefault="00BC179A">
      <w:pPr>
        <w:pStyle w:val="newncpi"/>
      </w:pPr>
      <w:r>
        <w:t>подлинником свидетельства на семена сельскохозяйственных растений;</w:t>
      </w:r>
    </w:p>
    <w:p w:rsidR="00BC179A" w:rsidRDefault="00BC179A">
      <w:pPr>
        <w:pStyle w:val="newncpi"/>
      </w:pPr>
      <w:r>
        <w:t>копией свидетельства на семена сельскохозяйственных растений, заверенной выдавшим свидетельство органом.</w:t>
      </w:r>
    </w:p>
    <w:p w:rsidR="00BC179A" w:rsidRDefault="00BC179A">
      <w:pPr>
        <w:pStyle w:val="newncpi"/>
      </w:pPr>
      <w:r>
        <w:t>Для семян сельскохозяйственных растений, ввезенных на территорию Республики Беларусь с территории государства – члена Евразийского экономического союза, сведения о качестве этих семян подтверждаются одним из следующих способов:</w:t>
      </w:r>
    </w:p>
    <w:p w:rsidR="00BC179A" w:rsidRDefault="00BC179A">
      <w:pPr>
        <w:pStyle w:val="newncpi"/>
      </w:pPr>
      <w:r>
        <w:t>документами, выданными уполномоченным органом государства – члена Евразийского экономического союза, по перечню, утверждаемому Евразийской экономической комиссией;</w:t>
      </w:r>
    </w:p>
    <w:p w:rsidR="00BC179A" w:rsidRDefault="00BC179A">
      <w:pPr>
        <w:pStyle w:val="newncpi"/>
      </w:pPr>
      <w:r>
        <w:t xml:space="preserve">копией документа, выданного уполномоченным органом государства – члена Евразийского экономического союза, по перечню, утверждаемому Евразийской </w:t>
      </w:r>
      <w:r>
        <w:lastRenderedPageBreak/>
        <w:t>экономической комиссией, заверенной подписью руководителя юридического лица (уполномоченного им должностного лица) или индивидуального предпринимателя, являющимися поставщиками семян сельскохозяйственных растений.</w:t>
      </w:r>
    </w:p>
    <w:p w:rsidR="00BC179A" w:rsidRDefault="00BC179A">
      <w:pPr>
        <w:pStyle w:val="newncpi"/>
      </w:pPr>
      <w:proofErr w:type="gramStart"/>
      <w:r>
        <w:t>Копии документов, подтверждающих качество семян сельскохозяйственных растений, полученные от поставщика товаров с первой поставкой товаров из партии (от объема серийного производства), на которую распространяются указанные документы, могут использоваться для подтверждения прохождения процедур обязательной оценки соответствия и наличия документа, подтверждающего качество семян сельскохозяйственных растений, при последующих поставках товаров из указанной партии (от объема серийного производства);</w:t>
      </w:r>
      <w:proofErr w:type="gramEnd"/>
    </w:p>
    <w:p w:rsidR="00BC179A" w:rsidRDefault="00BC179A">
      <w:pPr>
        <w:pStyle w:val="underpoint"/>
      </w:pPr>
      <w:r>
        <w:t>1.2. наличие документов, подтверждающих качество и безопасность товаров, за исключением товаров, указанных в частях второй и третьей настоящего подпункта, при их продаже в розничных торговых объектах, объектах общественного питания, на торговых местах, принадлежащих субъекту торговли, субъекту общественного питания, подтверждается одним из следующих способов:</w:t>
      </w:r>
    </w:p>
    <w:p w:rsidR="00BC179A" w:rsidRDefault="00BC179A">
      <w:pPr>
        <w:pStyle w:val="newncpi"/>
      </w:pPr>
      <w:r>
        <w:t>ксерокопиями документов, подтверждающих качество и безопасность товаров, выполненными с их подлинников или копий, заверенных подписью уполномоченного работника субъекта торговли, субъекта общественного питания, если субъектом торговли, субъектом общественного питания является юридическое лицо, или подписью индивидуального предпринимателя, если субъектом торговли, субъектом общественного питания является индивидуальный предприниматель;</w:t>
      </w:r>
    </w:p>
    <w:p w:rsidR="00BC179A" w:rsidRDefault="00BC179A">
      <w:pPr>
        <w:pStyle w:val="newncpi"/>
      </w:pPr>
      <w:proofErr w:type="gramStart"/>
      <w:r>
        <w:t>указанием в сопроводительных документах, подтверждающих поступление товаров в розничный торговый объект, объект общественного питания, на торговое место, принадлежащие субъекту торговли, субъекту общественного питания, регистрационного номера сертификата соответствия или декларации о соответствии в едином реестре выданных сертификатов соответствия и зарегистрированных деклараций о соответствии, реестре Национальной системы подтверждения соответствия Республики Беларусь, дат регистрации и окончания (прекращения) действия (срока действия) этих документов с</w:t>
      </w:r>
      <w:proofErr w:type="gramEnd"/>
      <w:r>
        <w:t> предоставлением возможности потребителю по его просьбе удостовериться в наличии информации об этих документах в едином реестре выданных сертификатов соответствия и зарегистрированных деклараций о соответствии, реестре Национальной системы подтверждения соответствия Республики Беларусь.</w:t>
      </w:r>
    </w:p>
    <w:p w:rsidR="00BC179A" w:rsidRDefault="00BC179A">
      <w:pPr>
        <w:pStyle w:val="newncpi"/>
      </w:pPr>
      <w:r>
        <w:t>При продаже товаров, подлежащих ветеринарному контролю (надзору), наличие ветеринарных документов подтверждается одним из способов, указанных в подпункте 1.1.5 настоящего пункта.</w:t>
      </w:r>
    </w:p>
    <w:p w:rsidR="00BC179A" w:rsidRDefault="00BC179A">
      <w:pPr>
        <w:pStyle w:val="newncpi"/>
      </w:pPr>
      <w:r>
        <w:t>При продаже семян сельскохозяйственных растений наличие документов, подтверждающих их качество, подтверждается одним из способов, указанных в подпункте 1.1.7 настоящего пункта;</w:t>
      </w:r>
    </w:p>
    <w:p w:rsidR="00BC179A" w:rsidRDefault="00BC179A">
      <w:pPr>
        <w:pStyle w:val="underpoint"/>
      </w:pPr>
      <w:r>
        <w:t>1.3. в объектах общественного питания для подтверждения наличия документов, подтверждающих качество и безопасность товаров, приобретенных в розничных торговых объектах за наличный расчет, вместо документов, указанных в подпунктах 1.1.1–1.1.5 настоящего пункта, может применяться товарный чек с указанием в нем наименования товара, его количества, даты приобретения;</w:t>
      </w:r>
    </w:p>
    <w:p w:rsidR="00BC179A" w:rsidRDefault="00BC179A">
      <w:pPr>
        <w:pStyle w:val="underpoint"/>
      </w:pPr>
      <w:r>
        <w:t>1.4. субъекты торговли, субъекты общественного питания подтверждают прохождение процедур обязательной оценки соответствия и наличие документов об оценке соответствия товаров, на которые распространяются технические регламенты Таможенного союза, Евразийского экономического союза, за исключением товаров, указанных в частях второй и третьей настоящего подпункта, при их продаже одним из следующих способов:</w:t>
      </w:r>
    </w:p>
    <w:p w:rsidR="00BC179A" w:rsidRDefault="00BC179A">
      <w:pPr>
        <w:pStyle w:val="newncpi"/>
      </w:pPr>
      <w:proofErr w:type="gramStart"/>
      <w:r>
        <w:t xml:space="preserve">наличием на товаре и (или) на его потребительской упаковке маркировки единым знаком обращения продукции на рынке Евразийского экономического союза, подлинниками сертификатов соответствия техническим регламентам Евразийского </w:t>
      </w:r>
      <w:r>
        <w:lastRenderedPageBreak/>
        <w:t>экономического союза или деклараций о соответствии техническим регламентам Евразийского экономического союза, или их электронными формами, заверенными электронной цифровой подписью, или их копиями, заверенными поставщиками товаров субъектам торговли, субъектам общественного питания либо субъектами торговли, субъектами общественного</w:t>
      </w:r>
      <w:proofErr w:type="gramEnd"/>
      <w:r>
        <w:t xml:space="preserve"> питания, выпускающими товары в обращение в Республике Беларусь, или ксерокопиями, выполненными с их подлинников;</w:t>
      </w:r>
    </w:p>
    <w:p w:rsidR="00BC179A" w:rsidRDefault="00BC179A">
      <w:pPr>
        <w:pStyle w:val="newncpi"/>
      </w:pPr>
      <w:proofErr w:type="gramStart"/>
      <w:r>
        <w:t>наличием на товаре и (или) на его потребительской упаковке маркировки единым знаком обращения продукции на рынке Евразийского экономического союза, указанием в сопроводительных документах, подтверждающих приобретение (поступление) товаров, регистрационных номеров сертификатов соответствия или деклараций о соответствии в едином реестре выданных сертификатов соответствия и зарегистрированных деклараций о соответствии, дат регистрации и прекращения действия (сроков действия) этих документов с предоставлением возможности потребителю по</w:t>
      </w:r>
      <w:proofErr w:type="gramEnd"/>
      <w:r>
        <w:t> его просьбе удостовериться в наличии информации об этих документах в едином реестре выданных сертификатов соответствия и зарегистрированных деклараций о соответствии;</w:t>
      </w:r>
    </w:p>
    <w:p w:rsidR="00BC179A" w:rsidRDefault="00BC179A">
      <w:pPr>
        <w:pStyle w:val="newncpi"/>
      </w:pPr>
      <w:proofErr w:type="gramStart"/>
      <w:r>
        <w:t>наличием на товаре и (или) на его потребительской упаковке маркировки единым знаком обращения продукции на рынке Евразийского экономического союза и указанием в эксплуатационных документах регистрационных номеров сертификатов соответствия или деклараций о соответствии, дат регистрации и прекращения действия (сроков действия) этих документов, если это предусмотрено требованиями соответствующих технических регламентов Таможенного союза, Евразийского экономического союза;</w:t>
      </w:r>
      <w:proofErr w:type="gramEnd"/>
    </w:p>
    <w:p w:rsidR="00BC179A" w:rsidRDefault="00BC179A">
      <w:pPr>
        <w:pStyle w:val="newncpi"/>
      </w:pPr>
      <w:r>
        <w:t>способами, указанными в подпунктах 1.1.1, 1.1.2, 1.1.4–1.1.7 настоящего пункта, – в течение периода, определенного решением о принятии технического регламента Таможенного союза, Евразийского экономического союза, а способами, указанными в подпункте 1.1.3 настоящего пункта, – и по истечении периода, определенного решением о принятии технического регламента Таможенного союза, Евразийского экономического союза.</w:t>
      </w:r>
    </w:p>
    <w:p w:rsidR="00BC179A" w:rsidRDefault="00BC179A">
      <w:pPr>
        <w:pStyle w:val="newncpi"/>
      </w:pPr>
      <w:r>
        <w:t>Для товаров, указанных в абзаце первом части первой настоящего подпункта и подлежащих ветеринарному контролю (надзору), наличие ветеринарных документов подтверждается одним из способов, указанных в подпункте 1.1.5 настоящего пункта, в случаях и порядке, установленных законодательством и международно-правовыми актами, составляющими право Евразийского экономического союза.</w:t>
      </w:r>
    </w:p>
    <w:p w:rsidR="00BC179A" w:rsidRDefault="00BC179A">
      <w:pPr>
        <w:pStyle w:val="newncpi"/>
      </w:pPr>
      <w:r>
        <w:t>Для транспортных средств и шасси наличие одобрения типа транспортного средства, одобрения типа шасси, свидетельства о безопасности конструкции транспортного средства, оформленных по установленным формам, подтверждаются одним из следующих способов:</w:t>
      </w:r>
    </w:p>
    <w:p w:rsidR="00BC179A" w:rsidRDefault="00BC179A">
      <w:pPr>
        <w:pStyle w:val="newncpi"/>
      </w:pPr>
      <w:r>
        <w:t>подлинником одобрения типа транспортного средства, одобрения типа шасси, свидетельства о безопасности конструкции транспортного средства;</w:t>
      </w:r>
    </w:p>
    <w:p w:rsidR="00BC179A" w:rsidRDefault="00BC179A">
      <w:pPr>
        <w:pStyle w:val="newncpi"/>
      </w:pPr>
      <w:r>
        <w:t>копией одобрения типа транспортного средства, одобрения типа шасси, выполненной на бланках с определенной степенью защиты, заверенной выдавшим эти одобрения типа транспортного средства, одобрения типа шасси органом по сертификации;</w:t>
      </w:r>
    </w:p>
    <w:p w:rsidR="00BC179A" w:rsidRDefault="00BC179A">
      <w:pPr>
        <w:pStyle w:val="newncpi"/>
      </w:pPr>
      <w:r>
        <w:t>ксерокопией одобрения типа транспортного средства, одобрения типа шасси, выполненной с его подлинника, заверенной подписью руководителя юридического лица (уполномоченного им должностного лица) или индивидуального предпринимателя, являющимися изготовителем или представителем изготовителя транспортных средств и шасси;</w:t>
      </w:r>
    </w:p>
    <w:p w:rsidR="00BC179A" w:rsidRDefault="00BC179A">
      <w:pPr>
        <w:pStyle w:val="newncpi"/>
      </w:pPr>
      <w:r>
        <w:t>ксерокопией свидетельства о безопасности конструкции транспортного средства, заверенной подписью заявителя на подтверждение соответствия единичного транспортного средства, указанного в свидетельстве.</w:t>
      </w:r>
    </w:p>
    <w:p w:rsidR="00BC179A" w:rsidRDefault="00BC179A">
      <w:pPr>
        <w:pStyle w:val="newncpi"/>
      </w:pPr>
      <w:proofErr w:type="gramStart"/>
      <w:r>
        <w:t xml:space="preserve">Копии (ксерокопии) одобрения типа транспортного средства и одобрения типа шасси, полученные от поставщика товаров с первой поставкой товаров из партии (от объема серийного производства), на которую распространяются указанные одобрение </w:t>
      </w:r>
      <w:r>
        <w:lastRenderedPageBreak/>
        <w:t>типа транспортного средства, одобрение типа шасси, могут использоваться для подтверждения прохождения процедур оценки соответствия и наличия одобрения типа транспортного средства, одобрения типа шасси при последующих поставках товаров из указанной партии (от</w:t>
      </w:r>
      <w:proofErr w:type="gramEnd"/>
      <w:r>
        <w:t xml:space="preserve"> объема серийного производства);</w:t>
      </w:r>
    </w:p>
    <w:p w:rsidR="00BC179A" w:rsidRDefault="00BC179A">
      <w:pPr>
        <w:pStyle w:val="underpoint"/>
      </w:pPr>
      <w:r>
        <w:t>1.5. субъекты торговли при осуществлении дистанционной торговли с использованием глобальной компьютерной сети Интернет информируют покупателей о прохождении процедур обязательной оценки соответствия и наличии документов, подтверждающих качество и безопасность товаров, до момента заключения договора розничной купли-продажи в устной форме либо по требованию потребителя в письменной форме способом, определенным соглашением сторон.</w:t>
      </w:r>
    </w:p>
    <w:p w:rsidR="00BC179A" w:rsidRDefault="00BC179A">
      <w:pPr>
        <w:pStyle w:val="point"/>
      </w:pPr>
      <w:r>
        <w:t>2. Признать утратившими силу постановления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согласно приложению.</w:t>
      </w:r>
    </w:p>
    <w:p w:rsidR="00BC179A" w:rsidRDefault="00BC179A">
      <w:pPr>
        <w:pStyle w:val="point"/>
      </w:pPr>
      <w:r>
        <w:t>3. Настоящее постановление вступает в силу после его официального опубликования.</w:t>
      </w:r>
    </w:p>
    <w:p w:rsidR="00BC179A" w:rsidRDefault="00BC179A">
      <w:pPr>
        <w:pStyle w:val="newncpi"/>
      </w:pPr>
      <w:r>
        <w:t> </w:t>
      </w:r>
    </w:p>
    <w:tbl>
      <w:tblPr>
        <w:tblW w:w="5000" w:type="pct"/>
        <w:tblCellMar>
          <w:left w:w="0" w:type="dxa"/>
          <w:right w:w="0" w:type="dxa"/>
        </w:tblCellMar>
        <w:tblLook w:val="04A0"/>
      </w:tblPr>
      <w:tblGrid>
        <w:gridCol w:w="3279"/>
        <w:gridCol w:w="2400"/>
        <w:gridCol w:w="3690"/>
      </w:tblGrid>
      <w:tr w:rsidR="00BC179A">
        <w:tc>
          <w:tcPr>
            <w:tcW w:w="1750" w:type="pct"/>
            <w:tcMar>
              <w:top w:w="0" w:type="dxa"/>
              <w:left w:w="6" w:type="dxa"/>
              <w:bottom w:w="0" w:type="dxa"/>
              <w:right w:w="6" w:type="dxa"/>
            </w:tcMar>
            <w:hideMark/>
          </w:tcPr>
          <w:p w:rsidR="00BC179A" w:rsidRDefault="00BC179A">
            <w:pPr>
              <w:pStyle w:val="newncpi0"/>
              <w:jc w:val="left"/>
              <w:rPr>
                <w:sz w:val="22"/>
                <w:szCs w:val="22"/>
              </w:rPr>
            </w:pPr>
            <w:r>
              <w:rPr>
                <w:rStyle w:val="post"/>
              </w:rPr>
              <w:t>Министр антимонопольного</w:t>
            </w:r>
            <w:r>
              <w:rPr>
                <w:sz w:val="22"/>
                <w:szCs w:val="22"/>
              </w:rPr>
              <w:br/>
            </w:r>
            <w:r>
              <w:rPr>
                <w:rStyle w:val="post"/>
              </w:rPr>
              <w:t>регулирования и торговли</w:t>
            </w:r>
            <w:r>
              <w:rPr>
                <w:sz w:val="22"/>
                <w:szCs w:val="22"/>
              </w:rPr>
              <w:br/>
            </w:r>
            <w:r>
              <w:rPr>
                <w:rStyle w:val="post"/>
              </w:rPr>
              <w:t>Республики Беларусь</w:t>
            </w:r>
          </w:p>
          <w:p w:rsidR="00BC179A" w:rsidRDefault="00BC179A">
            <w:pPr>
              <w:pStyle w:val="newncpi0"/>
              <w:ind w:firstLine="1021"/>
              <w:jc w:val="left"/>
            </w:pPr>
            <w:proofErr w:type="spellStart"/>
            <w:r>
              <w:rPr>
                <w:rStyle w:val="pers"/>
              </w:rPr>
              <w:t>В.В.Колтович</w:t>
            </w:r>
            <w:proofErr w:type="spellEnd"/>
          </w:p>
        </w:tc>
        <w:tc>
          <w:tcPr>
            <w:tcW w:w="1281" w:type="pct"/>
            <w:tcMar>
              <w:top w:w="0" w:type="dxa"/>
              <w:left w:w="6" w:type="dxa"/>
              <w:bottom w:w="0" w:type="dxa"/>
              <w:right w:w="6" w:type="dxa"/>
            </w:tcMar>
            <w:hideMark/>
          </w:tcPr>
          <w:p w:rsidR="00BC179A" w:rsidRDefault="00BC179A">
            <w:pPr>
              <w:pStyle w:val="newncpi0"/>
              <w:jc w:val="left"/>
            </w:pPr>
            <w:r>
              <w:t> </w:t>
            </w:r>
          </w:p>
        </w:tc>
        <w:tc>
          <w:tcPr>
            <w:tcW w:w="1970" w:type="pct"/>
            <w:tcMar>
              <w:top w:w="0" w:type="dxa"/>
              <w:left w:w="6" w:type="dxa"/>
              <w:bottom w:w="0" w:type="dxa"/>
              <w:right w:w="6" w:type="dxa"/>
            </w:tcMar>
            <w:hideMark/>
          </w:tcPr>
          <w:p w:rsidR="00BC179A" w:rsidRDefault="00BC179A">
            <w:pPr>
              <w:pStyle w:val="newncpi0"/>
              <w:jc w:val="left"/>
              <w:rPr>
                <w:sz w:val="22"/>
                <w:szCs w:val="22"/>
              </w:rPr>
            </w:pPr>
            <w:r>
              <w:rPr>
                <w:rStyle w:val="post"/>
              </w:rPr>
              <w:t>Министр сельского хозяйства</w:t>
            </w:r>
            <w:r>
              <w:rPr>
                <w:sz w:val="22"/>
                <w:szCs w:val="22"/>
              </w:rPr>
              <w:br/>
            </w:r>
            <w:r>
              <w:rPr>
                <w:rStyle w:val="post"/>
              </w:rPr>
              <w:t>и продовольствия</w:t>
            </w:r>
            <w:r>
              <w:rPr>
                <w:sz w:val="22"/>
                <w:szCs w:val="22"/>
              </w:rPr>
              <w:br/>
            </w:r>
            <w:r>
              <w:rPr>
                <w:rStyle w:val="post"/>
              </w:rPr>
              <w:t>Республики Беларусь</w:t>
            </w:r>
          </w:p>
          <w:p w:rsidR="00BC179A" w:rsidRDefault="00BC179A">
            <w:pPr>
              <w:pStyle w:val="newncpi0"/>
              <w:ind w:firstLine="1021"/>
              <w:jc w:val="left"/>
            </w:pPr>
            <w:proofErr w:type="spellStart"/>
            <w:r>
              <w:rPr>
                <w:rStyle w:val="pers"/>
              </w:rPr>
              <w:t>А.Н.Хотько</w:t>
            </w:r>
            <w:proofErr w:type="spellEnd"/>
          </w:p>
        </w:tc>
      </w:tr>
      <w:tr w:rsidR="00BC179A">
        <w:tc>
          <w:tcPr>
            <w:tcW w:w="1750" w:type="pct"/>
            <w:tcMar>
              <w:top w:w="0" w:type="dxa"/>
              <w:left w:w="6" w:type="dxa"/>
              <w:bottom w:w="0" w:type="dxa"/>
              <w:right w:w="6" w:type="dxa"/>
            </w:tcMar>
            <w:hideMark/>
          </w:tcPr>
          <w:p w:rsidR="00BC179A" w:rsidRDefault="00BC179A">
            <w:pPr>
              <w:pStyle w:val="newncpi0"/>
              <w:jc w:val="left"/>
            </w:pPr>
            <w:r>
              <w:t> </w:t>
            </w:r>
          </w:p>
        </w:tc>
        <w:tc>
          <w:tcPr>
            <w:tcW w:w="1281" w:type="pct"/>
            <w:tcMar>
              <w:top w:w="0" w:type="dxa"/>
              <w:left w:w="6" w:type="dxa"/>
              <w:bottom w:w="0" w:type="dxa"/>
              <w:right w:w="6" w:type="dxa"/>
            </w:tcMar>
            <w:hideMark/>
          </w:tcPr>
          <w:p w:rsidR="00BC179A" w:rsidRDefault="00BC179A">
            <w:pPr>
              <w:pStyle w:val="newncpi0"/>
              <w:jc w:val="left"/>
            </w:pPr>
            <w:r>
              <w:t> </w:t>
            </w:r>
          </w:p>
        </w:tc>
        <w:tc>
          <w:tcPr>
            <w:tcW w:w="1970" w:type="pct"/>
            <w:tcMar>
              <w:top w:w="0" w:type="dxa"/>
              <w:left w:w="6" w:type="dxa"/>
              <w:bottom w:w="0" w:type="dxa"/>
              <w:right w:w="6" w:type="dxa"/>
            </w:tcMar>
            <w:hideMark/>
          </w:tcPr>
          <w:p w:rsidR="00BC179A" w:rsidRDefault="00BC179A">
            <w:pPr>
              <w:pStyle w:val="newncpi0"/>
              <w:jc w:val="left"/>
            </w:pPr>
            <w:r>
              <w:t> </w:t>
            </w:r>
          </w:p>
        </w:tc>
      </w:tr>
      <w:tr w:rsidR="00BC179A">
        <w:tc>
          <w:tcPr>
            <w:tcW w:w="1750" w:type="pct"/>
            <w:tcMar>
              <w:top w:w="0" w:type="dxa"/>
              <w:left w:w="6" w:type="dxa"/>
              <w:bottom w:w="0" w:type="dxa"/>
              <w:right w:w="6" w:type="dxa"/>
            </w:tcMar>
            <w:hideMark/>
          </w:tcPr>
          <w:p w:rsidR="00BC179A" w:rsidRDefault="00BC179A">
            <w:pPr>
              <w:pStyle w:val="newncpi0"/>
              <w:jc w:val="left"/>
              <w:rPr>
                <w:sz w:val="22"/>
                <w:szCs w:val="22"/>
              </w:rPr>
            </w:pPr>
            <w:r>
              <w:rPr>
                <w:rStyle w:val="post"/>
              </w:rPr>
              <w:t>Министр здравоохранения</w:t>
            </w:r>
            <w:r>
              <w:rPr>
                <w:sz w:val="22"/>
                <w:szCs w:val="22"/>
              </w:rPr>
              <w:br/>
            </w:r>
            <w:r>
              <w:rPr>
                <w:rStyle w:val="post"/>
              </w:rPr>
              <w:t>Республики Беларусь</w:t>
            </w:r>
          </w:p>
          <w:p w:rsidR="00BC179A" w:rsidRDefault="00BC179A">
            <w:pPr>
              <w:pStyle w:val="newncpi0"/>
              <w:ind w:firstLine="1021"/>
              <w:jc w:val="left"/>
            </w:pPr>
            <w:proofErr w:type="spellStart"/>
            <w:r>
              <w:rPr>
                <w:rStyle w:val="pers"/>
              </w:rPr>
              <w:t>В.С.Караник</w:t>
            </w:r>
            <w:proofErr w:type="spellEnd"/>
          </w:p>
        </w:tc>
        <w:tc>
          <w:tcPr>
            <w:tcW w:w="1281" w:type="pct"/>
            <w:tcMar>
              <w:top w:w="0" w:type="dxa"/>
              <w:left w:w="6" w:type="dxa"/>
              <w:bottom w:w="0" w:type="dxa"/>
              <w:right w:w="6" w:type="dxa"/>
            </w:tcMar>
            <w:hideMark/>
          </w:tcPr>
          <w:p w:rsidR="00BC179A" w:rsidRDefault="00BC179A">
            <w:pPr>
              <w:pStyle w:val="newncpi0"/>
              <w:jc w:val="left"/>
            </w:pPr>
            <w:r>
              <w:t> </w:t>
            </w:r>
          </w:p>
        </w:tc>
        <w:tc>
          <w:tcPr>
            <w:tcW w:w="1970" w:type="pct"/>
            <w:tcMar>
              <w:top w:w="0" w:type="dxa"/>
              <w:left w:w="6" w:type="dxa"/>
              <w:bottom w:w="0" w:type="dxa"/>
              <w:right w:w="6" w:type="dxa"/>
            </w:tcMar>
            <w:hideMark/>
          </w:tcPr>
          <w:p w:rsidR="00BC179A" w:rsidRDefault="00BC179A">
            <w:pPr>
              <w:pStyle w:val="newncpi0"/>
              <w:jc w:val="left"/>
              <w:rPr>
                <w:sz w:val="22"/>
                <w:szCs w:val="22"/>
              </w:rPr>
            </w:pPr>
            <w:r>
              <w:rPr>
                <w:rStyle w:val="post"/>
              </w:rPr>
              <w:t>Первый заместитель</w:t>
            </w:r>
            <w:r>
              <w:rPr>
                <w:sz w:val="22"/>
                <w:szCs w:val="22"/>
              </w:rPr>
              <w:t xml:space="preserve"> </w:t>
            </w:r>
            <w:r>
              <w:rPr>
                <w:rStyle w:val="post"/>
              </w:rPr>
              <w:t>Председателя</w:t>
            </w:r>
            <w:r>
              <w:rPr>
                <w:sz w:val="22"/>
                <w:szCs w:val="22"/>
              </w:rPr>
              <w:br/>
            </w:r>
            <w:r>
              <w:rPr>
                <w:rStyle w:val="post"/>
              </w:rPr>
              <w:t>Государственного комитета</w:t>
            </w:r>
            <w:r>
              <w:rPr>
                <w:sz w:val="22"/>
                <w:szCs w:val="22"/>
              </w:rPr>
              <w:br/>
            </w:r>
            <w:r>
              <w:rPr>
                <w:rStyle w:val="post"/>
              </w:rPr>
              <w:t>по стандартизации</w:t>
            </w:r>
            <w:r>
              <w:rPr>
                <w:sz w:val="22"/>
                <w:szCs w:val="22"/>
              </w:rPr>
              <w:br/>
            </w:r>
            <w:r>
              <w:rPr>
                <w:rStyle w:val="post"/>
              </w:rPr>
              <w:t>Республики Беларусь</w:t>
            </w:r>
          </w:p>
          <w:p w:rsidR="00BC179A" w:rsidRDefault="00BC179A">
            <w:pPr>
              <w:pStyle w:val="newncpi0"/>
              <w:ind w:firstLine="1021"/>
              <w:jc w:val="left"/>
            </w:pPr>
            <w:r>
              <w:rPr>
                <w:rStyle w:val="pers"/>
              </w:rPr>
              <w:t>И.И.Осмола</w:t>
            </w:r>
          </w:p>
        </w:tc>
      </w:tr>
    </w:tbl>
    <w:p w:rsidR="00BC179A" w:rsidRDefault="00BC179A">
      <w:pPr>
        <w:pStyle w:val="newncpi"/>
      </w:pPr>
      <w:r>
        <w:t> </w:t>
      </w:r>
    </w:p>
    <w:tbl>
      <w:tblPr>
        <w:tblW w:w="5000" w:type="pct"/>
        <w:tblCellMar>
          <w:left w:w="0" w:type="dxa"/>
          <w:right w:w="0" w:type="dxa"/>
        </w:tblCellMar>
        <w:tblLook w:val="04A0"/>
      </w:tblPr>
      <w:tblGrid>
        <w:gridCol w:w="9302"/>
        <w:gridCol w:w="67"/>
      </w:tblGrid>
      <w:tr w:rsidR="00BC179A">
        <w:trPr>
          <w:trHeight w:val="238"/>
        </w:trPr>
        <w:tc>
          <w:tcPr>
            <w:tcW w:w="4980" w:type="pct"/>
            <w:tcMar>
              <w:top w:w="0" w:type="dxa"/>
              <w:left w:w="6" w:type="dxa"/>
              <w:bottom w:w="0" w:type="dxa"/>
              <w:right w:w="6" w:type="dxa"/>
            </w:tcMar>
            <w:hideMark/>
          </w:tcPr>
          <w:p w:rsidR="00BC179A" w:rsidRDefault="00BC179A">
            <w:pPr>
              <w:pStyle w:val="agree"/>
            </w:pPr>
            <w:r>
              <w:t>СОГЛАСОВАНО</w:t>
            </w:r>
          </w:p>
          <w:p w:rsidR="00BC179A" w:rsidRDefault="00BC179A">
            <w:pPr>
              <w:pStyle w:val="agree"/>
            </w:pPr>
            <w:r>
              <w:t>Министерство иностранных дел</w:t>
            </w:r>
            <w:r>
              <w:br/>
              <w:t>Республики Беларусь</w:t>
            </w: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p w:rsidR="00BC179A" w:rsidRDefault="00BC179A">
            <w:pPr>
              <w:pStyle w:val="agree"/>
            </w:pPr>
          </w:p>
        </w:tc>
        <w:tc>
          <w:tcPr>
            <w:tcW w:w="20" w:type="pct"/>
            <w:tcMar>
              <w:top w:w="0" w:type="dxa"/>
              <w:left w:w="6" w:type="dxa"/>
              <w:bottom w:w="0" w:type="dxa"/>
              <w:right w:w="6" w:type="dxa"/>
            </w:tcMar>
            <w:hideMark/>
          </w:tcPr>
          <w:p w:rsidR="00BC179A" w:rsidRDefault="00BC179A">
            <w:pPr>
              <w:pStyle w:val="agree"/>
            </w:pPr>
            <w:r>
              <w:t> </w:t>
            </w:r>
          </w:p>
        </w:tc>
      </w:tr>
    </w:tbl>
    <w:p w:rsidR="00BC179A" w:rsidRDefault="00BC179A">
      <w:pPr>
        <w:pStyle w:val="newncpi"/>
      </w:pPr>
      <w:r>
        <w:lastRenderedPageBreak/>
        <w:t> </w:t>
      </w:r>
    </w:p>
    <w:tbl>
      <w:tblPr>
        <w:tblW w:w="5000" w:type="pct"/>
        <w:tblCellMar>
          <w:left w:w="0" w:type="dxa"/>
          <w:right w:w="0" w:type="dxa"/>
        </w:tblCellMar>
        <w:tblLook w:val="04A0"/>
      </w:tblPr>
      <w:tblGrid>
        <w:gridCol w:w="5820"/>
        <w:gridCol w:w="3549"/>
      </w:tblGrid>
      <w:tr w:rsidR="00BC179A">
        <w:tc>
          <w:tcPr>
            <w:tcW w:w="3106" w:type="pct"/>
            <w:tcMar>
              <w:top w:w="0" w:type="dxa"/>
              <w:left w:w="6" w:type="dxa"/>
              <w:bottom w:w="0" w:type="dxa"/>
              <w:right w:w="6" w:type="dxa"/>
            </w:tcMar>
            <w:hideMark/>
          </w:tcPr>
          <w:p w:rsidR="00BC179A" w:rsidRDefault="00BC179A">
            <w:pPr>
              <w:pStyle w:val="newncpi"/>
            </w:pPr>
            <w:r>
              <w:t> </w:t>
            </w:r>
          </w:p>
        </w:tc>
        <w:tc>
          <w:tcPr>
            <w:tcW w:w="1894" w:type="pct"/>
            <w:tcMar>
              <w:top w:w="0" w:type="dxa"/>
              <w:left w:w="6" w:type="dxa"/>
              <w:bottom w:w="0" w:type="dxa"/>
              <w:right w:w="6" w:type="dxa"/>
            </w:tcMar>
            <w:hideMark/>
          </w:tcPr>
          <w:p w:rsidR="00BC179A" w:rsidRDefault="00BC179A">
            <w:pPr>
              <w:pStyle w:val="append1"/>
            </w:pPr>
            <w:r>
              <w:t>Приложение</w:t>
            </w:r>
          </w:p>
          <w:p w:rsidR="00BC179A" w:rsidRDefault="00BC179A">
            <w:pPr>
              <w:pStyle w:val="append"/>
            </w:pPr>
            <w:r>
              <w:t>к постановлению</w:t>
            </w:r>
            <w:r>
              <w:br/>
              <w:t>Министерства антимонопольного</w:t>
            </w:r>
            <w:r>
              <w:br/>
              <w:t>регулирования и торговли</w:t>
            </w:r>
            <w:r>
              <w:br/>
              <w:t>Республики Беларусь,</w:t>
            </w:r>
            <w:r>
              <w:br/>
              <w:t>Министерства сельского хозяйства</w:t>
            </w:r>
            <w:r>
              <w:br/>
              <w:t>и продовольствия</w:t>
            </w:r>
            <w:r>
              <w:br/>
              <w:t xml:space="preserve">Республики Беларусь, </w:t>
            </w:r>
            <w:r>
              <w:br/>
              <w:t>Министерства здравоохранения</w:t>
            </w:r>
            <w:r>
              <w:br/>
              <w:t>Республики Беларусь</w:t>
            </w:r>
            <w:r>
              <w:br/>
              <w:t>и Государственного комитета</w:t>
            </w:r>
            <w:r>
              <w:br/>
              <w:t>по стандартизации</w:t>
            </w:r>
            <w:r>
              <w:br/>
              <w:t>Республики Беларусь</w:t>
            </w:r>
            <w:r>
              <w:br/>
              <w:t xml:space="preserve">05.08.2019 № 64/30/81/47 </w:t>
            </w:r>
          </w:p>
        </w:tc>
      </w:tr>
    </w:tbl>
    <w:p w:rsidR="00BC179A" w:rsidRDefault="00BC179A">
      <w:pPr>
        <w:pStyle w:val="titlep"/>
        <w:jc w:val="left"/>
      </w:pPr>
      <w:r>
        <w:t>ПЕРЕЧЕНЬ</w:t>
      </w:r>
      <w:r>
        <w:br/>
        <w:t>утративших силу постановлений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w:t>
      </w:r>
    </w:p>
    <w:p w:rsidR="00BC179A" w:rsidRDefault="00BC179A">
      <w:pPr>
        <w:pStyle w:val="point"/>
      </w:pPr>
      <w:r>
        <w:t>1.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7 мая 2007 г. № 28/35/38/27 «О порядке подтверждения наличия документов о качестве и безопасности товаров при их продаже».</w:t>
      </w:r>
    </w:p>
    <w:p w:rsidR="00BC179A" w:rsidRDefault="00BC179A">
      <w:pPr>
        <w:pStyle w:val="point"/>
      </w:pPr>
      <w:r>
        <w:t>2. 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6 июля 2007 г. № 43/48/61/37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Государственного комитета по стандартизации Республики Беларусь</w:t>
      </w:r>
      <w:proofErr w:type="gramEnd"/>
      <w:r>
        <w:t xml:space="preserve"> от 7 мая 2007 г. № 28/35/38/27».</w:t>
      </w:r>
    </w:p>
    <w:p w:rsidR="00BC179A" w:rsidRDefault="00BC179A">
      <w:pPr>
        <w:pStyle w:val="point"/>
      </w:pPr>
      <w:r>
        <w:t>3. 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24 апреля 2008 г. № 16/45/74/20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4. 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15 июня 2009 г. № 35/38/68/27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5. </w:t>
      </w:r>
      <w:proofErr w:type="gramStart"/>
      <w:r>
        <w:t xml:space="preserve">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w:t>
      </w:r>
      <w:r>
        <w:lastRenderedPageBreak/>
        <w:t>Республики Беларусь от 23 сентября 2010 г. № 20/56/127/57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6. 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29 декабря 2010 г. № 43/95/182/79 «О внесении дополнений и изменений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7. 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21 июня 2013 г. № 9/26/50/32 «О внесении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w:t>
      </w:r>
      <w:proofErr w:type="gramEnd"/>
      <w:r>
        <w:t> 7 мая 2007 г. № 28/35/38/27».</w:t>
      </w:r>
    </w:p>
    <w:p w:rsidR="00BC179A" w:rsidRDefault="00BC179A">
      <w:pPr>
        <w:pStyle w:val="point"/>
      </w:pPr>
      <w:r>
        <w:t>8. 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6 мая 2014 г. № 17/18/32/20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9. 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7 апреля 2015 г. № 12/14/35/17 «О внесении изменений и дополнений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point"/>
      </w:pPr>
      <w:r>
        <w:t>10. </w:t>
      </w:r>
      <w:proofErr w:type="gramStart"/>
      <w:r>
        <w:t>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 Беларусь от 29 февраля 2016 г. № 9/9/38/18 «О внесении изменений и дополнения в постановление Министерства торговли Республики Беларусь, Министерства сельского хозяйства и продовольствия Республики Беларусь, Министерства здравоохранения Республики Беларусь и Государственного комитета по стандартизации Республики</w:t>
      </w:r>
      <w:proofErr w:type="gramEnd"/>
      <w:r>
        <w:t xml:space="preserve"> Беларусь от 7 мая 2007 г. № 28/35/38/27».</w:t>
      </w:r>
    </w:p>
    <w:p w:rsidR="00BC179A" w:rsidRDefault="00BC179A">
      <w:pPr>
        <w:pStyle w:val="newncpi"/>
      </w:pPr>
      <w:r>
        <w:t> </w:t>
      </w:r>
    </w:p>
    <w:p w:rsidR="00A25B94" w:rsidRDefault="00A25B94"/>
    <w:sectPr w:rsidR="00A25B94" w:rsidSect="00BC179A">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77D" w:rsidRDefault="008B777D" w:rsidP="00BC179A">
      <w:pPr>
        <w:spacing w:after="0" w:line="240" w:lineRule="auto"/>
      </w:pPr>
      <w:r>
        <w:separator/>
      </w:r>
    </w:p>
  </w:endnote>
  <w:endnote w:type="continuationSeparator" w:id="0">
    <w:p w:rsidR="008B777D" w:rsidRDefault="008B777D" w:rsidP="00BC1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9A" w:rsidRDefault="00BC17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9A" w:rsidRDefault="00BC179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BC179A" w:rsidTr="00BC179A">
      <w:tc>
        <w:tcPr>
          <w:tcW w:w="1800" w:type="dxa"/>
          <w:shd w:val="clear" w:color="auto" w:fill="auto"/>
          <w:vAlign w:val="center"/>
        </w:tcPr>
        <w:p w:rsidR="00BC179A" w:rsidRDefault="00BC179A">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C179A" w:rsidRDefault="00BC179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C179A" w:rsidRDefault="00BC179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10.08.2021</w:t>
          </w:r>
        </w:p>
        <w:p w:rsidR="00BC179A" w:rsidRPr="00BC179A" w:rsidRDefault="00BC179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BC179A" w:rsidRDefault="00BC17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77D" w:rsidRDefault="008B777D" w:rsidP="00BC179A">
      <w:pPr>
        <w:spacing w:after="0" w:line="240" w:lineRule="auto"/>
      </w:pPr>
      <w:r>
        <w:separator/>
      </w:r>
    </w:p>
  </w:footnote>
  <w:footnote w:type="continuationSeparator" w:id="0">
    <w:p w:rsidR="008B777D" w:rsidRDefault="008B777D" w:rsidP="00BC1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9A" w:rsidRDefault="00BC179A" w:rsidP="000262D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C179A" w:rsidRDefault="00BC179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9A" w:rsidRPr="00BC179A" w:rsidRDefault="00BC179A" w:rsidP="000262DF">
    <w:pPr>
      <w:pStyle w:val="a3"/>
      <w:framePr w:wrap="around" w:vAnchor="text" w:hAnchor="margin" w:xAlign="center" w:y="1"/>
      <w:rPr>
        <w:rStyle w:val="a7"/>
        <w:rFonts w:ascii="Times New Roman" w:hAnsi="Times New Roman" w:cs="Times New Roman"/>
        <w:sz w:val="24"/>
      </w:rPr>
    </w:pPr>
    <w:r w:rsidRPr="00BC179A">
      <w:rPr>
        <w:rStyle w:val="a7"/>
        <w:rFonts w:ascii="Times New Roman" w:hAnsi="Times New Roman" w:cs="Times New Roman"/>
        <w:sz w:val="24"/>
      </w:rPr>
      <w:fldChar w:fldCharType="begin"/>
    </w:r>
    <w:r w:rsidRPr="00BC179A">
      <w:rPr>
        <w:rStyle w:val="a7"/>
        <w:rFonts w:ascii="Times New Roman" w:hAnsi="Times New Roman" w:cs="Times New Roman"/>
        <w:sz w:val="24"/>
      </w:rPr>
      <w:instrText xml:space="preserve">PAGE  </w:instrText>
    </w:r>
    <w:r w:rsidRPr="00BC179A">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C179A">
      <w:rPr>
        <w:rStyle w:val="a7"/>
        <w:rFonts w:ascii="Times New Roman" w:hAnsi="Times New Roman" w:cs="Times New Roman"/>
        <w:sz w:val="24"/>
      </w:rPr>
      <w:fldChar w:fldCharType="end"/>
    </w:r>
  </w:p>
  <w:p w:rsidR="00BC179A" w:rsidRPr="00BC179A" w:rsidRDefault="00BC179A">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79A" w:rsidRDefault="00BC179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C179A"/>
    <w:rsid w:val="008B777D"/>
    <w:rsid w:val="00A25B94"/>
    <w:rsid w:val="00BC1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C179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gree">
    <w:name w:val="agree"/>
    <w:basedOn w:val="a"/>
    <w:rsid w:val="00BC179A"/>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BC179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BC17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C17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BC17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BC179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BC179A"/>
    <w:pPr>
      <w:spacing w:after="0" w:line="240" w:lineRule="auto"/>
      <w:jc w:val="both"/>
    </w:pPr>
    <w:rPr>
      <w:rFonts w:ascii="Times New Roman" w:eastAsiaTheme="minorEastAsia" w:hAnsi="Times New Roman" w:cs="Times New Roman"/>
      <w:sz w:val="20"/>
      <w:szCs w:val="20"/>
      <w:lang w:eastAsia="ru-RU"/>
    </w:rPr>
  </w:style>
  <w:style w:type="paragraph" w:customStyle="1" w:styleId="append">
    <w:name w:val="append"/>
    <w:basedOn w:val="a"/>
    <w:rsid w:val="00BC179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BC179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BC179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BC179A"/>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BC179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BC179A"/>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BC179A"/>
    <w:rPr>
      <w:rFonts w:ascii="Times New Roman" w:hAnsi="Times New Roman" w:cs="Times New Roman" w:hint="default"/>
      <w:caps/>
    </w:rPr>
  </w:style>
  <w:style w:type="character" w:customStyle="1" w:styleId="promulgator">
    <w:name w:val="promulgator"/>
    <w:basedOn w:val="a0"/>
    <w:rsid w:val="00BC179A"/>
    <w:rPr>
      <w:rFonts w:ascii="Times New Roman" w:hAnsi="Times New Roman" w:cs="Times New Roman" w:hint="default"/>
      <w:caps/>
    </w:rPr>
  </w:style>
  <w:style w:type="character" w:customStyle="1" w:styleId="datepr">
    <w:name w:val="datepr"/>
    <w:basedOn w:val="a0"/>
    <w:rsid w:val="00BC179A"/>
    <w:rPr>
      <w:rFonts w:ascii="Times New Roman" w:hAnsi="Times New Roman" w:cs="Times New Roman" w:hint="default"/>
    </w:rPr>
  </w:style>
  <w:style w:type="character" w:customStyle="1" w:styleId="number">
    <w:name w:val="number"/>
    <w:basedOn w:val="a0"/>
    <w:rsid w:val="00BC179A"/>
    <w:rPr>
      <w:rFonts w:ascii="Times New Roman" w:hAnsi="Times New Roman" w:cs="Times New Roman" w:hint="default"/>
    </w:rPr>
  </w:style>
  <w:style w:type="character" w:customStyle="1" w:styleId="post">
    <w:name w:val="post"/>
    <w:basedOn w:val="a0"/>
    <w:rsid w:val="00BC179A"/>
    <w:rPr>
      <w:rFonts w:ascii="Times New Roman" w:hAnsi="Times New Roman" w:cs="Times New Roman" w:hint="default"/>
      <w:b/>
      <w:bCs/>
      <w:sz w:val="22"/>
      <w:szCs w:val="22"/>
    </w:rPr>
  </w:style>
  <w:style w:type="character" w:customStyle="1" w:styleId="pers">
    <w:name w:val="pers"/>
    <w:basedOn w:val="a0"/>
    <w:rsid w:val="00BC179A"/>
    <w:rPr>
      <w:rFonts w:ascii="Times New Roman" w:hAnsi="Times New Roman" w:cs="Times New Roman" w:hint="default"/>
      <w:b/>
      <w:bCs/>
      <w:sz w:val="22"/>
      <w:szCs w:val="22"/>
    </w:rPr>
  </w:style>
  <w:style w:type="paragraph" w:styleId="a3">
    <w:name w:val="header"/>
    <w:basedOn w:val="a"/>
    <w:link w:val="a4"/>
    <w:uiPriority w:val="99"/>
    <w:semiHidden/>
    <w:unhideWhenUsed/>
    <w:rsid w:val="00BC179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179A"/>
  </w:style>
  <w:style w:type="paragraph" w:styleId="a5">
    <w:name w:val="footer"/>
    <w:basedOn w:val="a"/>
    <w:link w:val="a6"/>
    <w:uiPriority w:val="99"/>
    <w:semiHidden/>
    <w:unhideWhenUsed/>
    <w:rsid w:val="00BC179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179A"/>
  </w:style>
  <w:style w:type="character" w:styleId="a7">
    <w:name w:val="page number"/>
    <w:basedOn w:val="a0"/>
    <w:uiPriority w:val="99"/>
    <w:semiHidden/>
    <w:unhideWhenUsed/>
    <w:rsid w:val="00BC179A"/>
  </w:style>
  <w:style w:type="table" w:styleId="a8">
    <w:name w:val="Table Grid"/>
    <w:basedOn w:val="a1"/>
    <w:uiPriority w:val="59"/>
    <w:rsid w:val="00BC1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3209</Words>
  <Characters>25713</Characters>
  <Application>Microsoft Office Word</Application>
  <DocSecurity>0</DocSecurity>
  <Lines>451</Lines>
  <Paragraphs>107</Paragraphs>
  <ScaleCrop>false</ScaleCrop>
  <Company/>
  <LinksUpToDate>false</LinksUpToDate>
  <CharactersWithSpaces>28815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1</cp:revision>
  <cp:lastPrinted>2021-08-10T11:30:00Z</cp:lastPrinted>
  <dcterms:created xsi:type="dcterms:W3CDTF">2021-08-10T11:29:00Z</dcterms:created>
  <dcterms:modified xsi:type="dcterms:W3CDTF">2021-08-10T11:31:00Z</dcterms:modified>
</cp:coreProperties>
</file>