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00" w:type="dxa"/>
        <w:gridCol w:w="4400" w:type="dxa"/>
      </w:tblGrid>
      <w:tblPr>
        <w:tblW w:w="5000" w:type="pct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00" w:type="dxa"/>
          </w:tcPr>
          <w:p>
            <w:pPr>
              <w:jc w:val="left"/>
            </w:pPr>
            <w:r>
              <w:pict>
                <v:shape type="#_x0000_t75" style="width:110pt; height:30pt; margin-left:-1pt; margin-top:-1pt; mso-position-horizontal:left; mso-position-vertical:top; mso-position-horizontal-relative:char;">
                  <w10:wrap type="square"/>
                  <v:imagedata r:id="rId7" o:title=""/>
                </v:shape>
              </w:pict>
            </w:r>
          </w:p>
        </w:tc>
        <w:tc>
          <w:tcPr>
            <w:tcW w:w="4400" w:type="dxa"/>
          </w:tcPr>
          <w:p>
            <w:pPr>
              <w:spacing w:before="0" w:after="0" w:line="288" w:lineRule="auto"/>
            </w:pPr>
            <w:r>
              <w:rPr>
                <w:sz w:val="20"/>
                <w:szCs w:val="20"/>
              </w:rPr>
              <w:t xml:space="preserve">Официальная правовая информация.
</w:t>
            </w:r>
          </w:p>
          <w:p>
            <w:pPr/>
            <w:r>
              <w:rPr>
                <w:sz w:val="20"/>
                <w:szCs w:val="20"/>
              </w:rPr>
              <w:t xml:space="preserve">Информационно-поисковая система ”ЭТАЛОН-ONLINE“, 03.09.2025
 Национальный центр законодательства и правовой информации Республики Беларусь</w:t>
            </w:r>
          </w:p>
        </w:tc>
      </w:tr>
    </w:tbl>
    <w:p/>
    <w:p>
      <w:pPr>
        <w:jc w:val="center"/>
        <w:ind w:left="0" w:right="0" w:firstLine="0"/>
        <w:spacing w:after="60"/>
      </w:pPr>
      <w:r>
        <w:rPr>
          <w:sz w:val="24"/>
          <w:szCs w:val="24"/>
          <w:caps/>
        </w:rPr>
        <w:t xml:space="preserve">УКАЗ </w:t>
      </w:r>
      <w:r>
        <w:rPr>
          <w:sz w:val="24"/>
          <w:szCs w:val="24"/>
          <w:caps/>
        </w:rPr>
        <w:t xml:space="preserve">ПРЕЗИДЕНТА РЕСПУБЛИКИ БЕЛАРУСЬ</w:t>
      </w:r>
    </w:p>
    <w:p>
      <w:pPr>
        <w:jc w:val="center"/>
        <w:ind w:left="0" w:right="0" w:firstLine="0"/>
        <w:spacing w:after="60"/>
      </w:pPr>
      <w:r>
        <w:rPr>
          <w:sz w:val="24"/>
          <w:szCs w:val="24"/>
        </w:rPr>
        <w:t xml:space="preserve">14 марта 2024 г.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№ 95</w:t>
      </w:r>
    </w:p>
    <w:p>
      <w:pPr>
        <w:spacing w:before="240" w:after="240"/>
      </w:pPr>
      <w:r>
        <w:rPr>
          <w:sz w:val="28"/>
          <w:szCs w:val="28"/>
          <w:b/>
          <w:bCs/>
        </w:rPr>
        <w:t xml:space="preserve">Об изменении Указа Президента Республики Беларусь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целях совершенствования предоставления льготных кредитов на приобретение потребительских товаров отдельным категориям граждан </w:t>
      </w:r>
      <w:r>
        <w:rPr>
          <w:sz w:val="24"/>
          <w:szCs w:val="24"/>
        </w:rPr>
        <w:t xml:space="preserve">постановляю: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1. Внести изменения в Указ Президента Республики Беларусь от 27 ноября 2000 г. № 631 «О дополнительных мерах по повышению заработной платы и предоставлению льготных кредитов отдельным категориям граждан» (приложение).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2. Действие настоящего Указа не распространяется на кредитные договоры, заключенные в соответствии с Указом Президента Республики Беларусь от 27 ноября 2000 г. № 631 до вступления в силу настоящего Указа.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3. Настоящий Указ вступает в силу через три месяца после его официального опубликования.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tbl>
      <w:tblGrid>
        <w:gridCol w:w="2500" w:type="dxa"/>
        <w:gridCol w:w="2500" w:type="dxa"/>
      </w:tblGrid>
      <w:tblPr>
        <w:tblW w:w="5000" w:type="pct"/>
        <w:tblCellSpacing w:w="0" w:type="dxa"/>
        <w:tblLayout w:type="autofit"/>
      </w:tblPr>
      <w:tr>
        <w:trPr/>
        <w:tc>
          <w:tcPr>
            <w:tcW w:w="2500" w:type="pct"/>
            <w:vAlign w:val="bottom"/>
            <w:vMerge w:val="restart"/>
          </w:tcPr>
          <w:p>
            <w:pPr>
              <w:jc w:val="left"/>
              <w:ind w:left="0" w:right="0" w:firstLine="0"/>
              <w:spacing w:after="60"/>
            </w:pPr>
            <w:r>
              <w:rPr>
                <w:sz w:val="22"/>
                <w:szCs w:val="22"/>
                <w:b/>
                <w:bCs/>
              </w:rPr>
              <w:t xml:space="preserve">Президент Республики Беларусь</w:t>
            </w:r>
          </w:p>
        </w:tc>
        <w:tc>
          <w:tcPr>
            <w:tcW w:w="2500" w:type="pct"/>
            <w:vAlign w:val="bottom"/>
            <w:vMerge w:val="restart"/>
          </w:tcPr>
          <w:p>
            <w:pPr>
              <w:jc w:val="right"/>
              <w:ind w:left="0" w:right="0" w:firstLine="0"/>
              <w:spacing w:after="60"/>
            </w:pPr>
            <w:r>
              <w:rPr>
                <w:sz w:val="22"/>
                <w:szCs w:val="22"/>
                <w:b/>
                <w:bCs/>
              </w:rPr>
              <w:t xml:space="preserve">А.Лукашенко</w:t>
            </w:r>
          </w:p>
        </w:tc>
      </w:tr>
    </w:tbl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 </w:t>
      </w:r>
    </w:p>
    <w:tbl>
      <w:tblGrid>
        <w:gridCol w:w="3864" w:type="dxa"/>
        <w:gridCol w:w="1136" w:type="dxa"/>
      </w:tblGrid>
      <w:tblPr>
        <w:tblW w:w="5000" w:type="pct"/>
        <w:tblCellSpacing w:w="0" w:type="dxa"/>
        <w:tblLayout w:type="autofit"/>
      </w:tblPr>
      <w:tr>
        <w:trPr/>
        <w:tc>
          <w:tcPr>
            <w:tcW w:w="3864" w:type="pct"/>
            <w:vAlign w:val="top"/>
            <w:vMerge w:val="restart"/>
          </w:tcPr>
          <w:p>
            <w:pPr>
              <w:jc w:val="both"/>
              <w:ind w:left="0" w:right="0" w:firstLine="0"/>
              <w:spacing w:after="60"/>
            </w:pPr>
            <w:r>
              <w:rPr>
                <w:sz w:val="24"/>
                <w:szCs w:val="24"/>
              </w:rPr>
              <w:t xml:space="preserve"> </w:t>
            </w:r>
          </w:p>
        </w:tc>
        <w:tc>
          <w:tcPr>
            <w:tcW w:w="1136" w:type="pct"/>
            <w:vAlign w:val="top"/>
            <w:vMerge w:val="restart"/>
          </w:tcPr>
          <w:p>
            <w:pPr>
              <w:spacing w:after="28.000005"/>
            </w:pPr>
            <w:r>
              <w:rPr>
                <w:sz w:val="22"/>
                <w:szCs w:val="22"/>
              </w:rPr>
              <w:t xml:space="preserve">Приложение</w:t>
            </w:r>
          </w:p>
          <w:p>
            <w:pPr>
              <w:spacing w:after="60"/>
            </w:pPr>
            <w:r>
              <w:rPr>
                <w:sz w:val="22"/>
                <w:szCs w:val="22"/>
              </w:rPr>
              <w:t xml:space="preserve">к Указу Президента</w:t>
            </w:r>
            <w:br/>
            <w:r>
              <w:rPr>
                <w:sz w:val="22"/>
                <w:szCs w:val="22"/>
              </w:rPr>
              <w:t xml:space="preserve">Республики Беларусь</w:t>
            </w:r>
          </w:p>
          <w:p>
            <w:pPr>
              <w:spacing w:after="60"/>
            </w:pPr>
            <w:r>
              <w:rPr>
                <w:sz w:val="22"/>
                <w:szCs w:val="22"/>
              </w:rPr>
              <w:t xml:space="preserve">14.03.2024 № 95</w:t>
            </w:r>
          </w:p>
        </w:tc>
      </w:tr>
    </w:tbl>
    <w:p>
      <w:pPr>
        <w:jc w:val="left"/>
        <w:spacing w:before="240" w:after="240"/>
      </w:pPr>
      <w:r>
        <w:rPr>
          <w:sz w:val="24"/>
          <w:szCs w:val="24"/>
          <w:b/>
          <w:bCs/>
        </w:rPr>
        <w:t xml:space="preserve">ИЗМЕНЕНИЯ,</w:t>
      </w:r>
      <w:br/>
      <w:r>
        <w:rPr>
          <w:sz w:val="24"/>
          <w:szCs w:val="24"/>
          <w:b/>
          <w:bCs/>
        </w:rPr>
        <w:t xml:space="preserve">вносимые в Указ Президента Республики Беларусь от 27 ноября 2000 г. № 631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Указ Президента Республики Беларусь от 27 ноября 2000 г. № 631 «О дополнительных мерах по повышению заработной платы и предоставлению льготных кредитов отдельным категориям граждан» изложить в новой редакции: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center"/>
        <w:ind w:left="0" w:right="0" w:firstLine="0"/>
        <w:spacing w:after="60"/>
      </w:pP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УКАЗ ПРЕЗИДЕНТА РЕСПУБЛИКИ БЕЛАРУСЬ</w:t>
      </w:r>
    </w:p>
    <w:p>
      <w:pPr>
        <w:jc w:val="left"/>
        <w:ind w:left="0" w:right="2692.6634170729" w:firstLine="0"/>
        <w:spacing w:before="240" w:after="240"/>
      </w:pPr>
      <w:r>
        <w:rPr>
          <w:sz w:val="28"/>
          <w:szCs w:val="28"/>
          <w:b/>
          <w:bCs/>
        </w:rPr>
        <w:t xml:space="preserve">О предоставлении льготных кредитов отдельным категориям граждан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целях оказания материальной поддержки выпускникам государственных учреждений образования и учреждений образования потребительской кооперации при обустройстве на новом месте жительства, привлечения и закрепления кадров в сельских населенных пунктах, а также в районах, пострадавших от катастрофы на Чернобыльской АЭС: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1. Установить, что: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1.1. ОАО «АСБ Беларусбанк» на условиях, предусмотренных настоящим Указом, предоставляются льготные кредиты на приобретение непродовольственных потребительских товаров белорусского производства (далее – льготные кредиты);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1.2. право на получение льготных кредитов предоставляется гражданам из числа выпускников государственных учреждений образования и учреждений образования потребительской кооперации, получивших профессионально-техническое, среднее специальное, высшее образование и приступивших к работе, назначенных на государственную гражданскую должность, воинскую должность, должность начальствующего и рядового состава военизированных организаций (далее, если не указано иное, – должность):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 распределению (перераспределению), трудоустройству в счет брони, направлению (перенаправлению) на работу, для прохождения военной службы и службы в военизированных организациях (далее, если не указано иное, – служба) в государственных организациях, воинских частях, организациях Вооруженных Сил, органах государственной безопасности и подчиненных им организациях, органах пограничной службы, военизированных организациях, организациях потребительской кооперации и сельскохозяйственных организациях (далее, если не указано иное, – организации), расположенных в населенных пунктах не по месту жительства родителей (усыновителей (удочерителей) (далее – усыновители);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 распределению (перераспределению), трудоустройству в счет брони, направлению (перенаправлению) на работу, для прохождения службы в организациях, расположенных в сельских населенных пунктах (либо рабочее место, место службы которых находится в этих населенных пунктах) или в районах, пострадавших от катастрофы на Чернобыльской АЭС, согласно устанавливаемому Правительством Республики Беларусь перечню населенных пунктов и объектов, находящихся в зонах радиоактивного загрязнения;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результате самостоятельного трудоустройства в течение шести месяцев, следующих за месяцем выдачи документа об образовании, в государственные организации, органы и подразделения по чрезвычайным ситуациям, организации потребительской кооперации и сельскохозяйственные организации, расположенные в сельских населенных пунктах (либо рабочее место, место службы которых находится в этих населенных пунктах);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после поступления на военную службу по контракту в добровольном порядке в течение шести месяцев, следующих за месяцем выдачи документа об образовании, в воинские части, организации Вооруженных Сил, органы пограничной службы, расположенные в населенных пунктах не по месту жительства родителей (усыновителей);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1.3. льготные кредиты предоставляются в размере до 30-кратного бюджета прожиточного минимума для трудоспособного населения включительно, действующего на дату заключения кредитного договора.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Максимальный срок, на который предоставляются льготные кредиты, не может превышать пяти лет.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Право на получение льготного кредита гражданином может быть использовано только один раз;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1.4. процентная ставка за пользование льготными кредитами устанавливается в размере 25 процентов ставки рефинансирования Национального банка с округлением до двух знаков после запятой;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1.5. возврат (погашение) льготных кредитов и уплата процентов за пользование ими осуществляются кредитополучателями по истечении шести месяцев, следующих за месяцем заключения кредитных договоров, равными долями в течение всего срока возврата (погашения) льготных кредитов;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1.6. процентная ставка, установленная в соответствии с подпунктом 1.4 настоящего пункта, применяется в отношении: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кредитополучателей из числа граждан, определенных в абзацах втором и третьем подпункта 1.2 настоящего пункта, – при условии отработки установленного законодательством срока обязательной работы по распределению (перераспределению), трудоустройству в счет брони, направлению (перенаправлению) на работу, прохождения установленного срока службы после получения образования по специальностям для воинских формирований и военизированных организаций, а также на условиях целевой подготовки в интересах Следственного комитета;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кредитополучателей из числа граждан, определенных в абзацах четвертом и пятом подпункта 1.2 настоящего пункта, – при условии работы по трудовым договорам, прохождения военной службы по контракту не менее двух лет со дня заключения кредитных договоров;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1.7. льготные кредиты предоставляются по спискам, утвержденным районными, городскими (городов областного и районного подчинения) исполнительными комитетами, местными администрациями районов в городах (далее, если не указано иное, – исполнительный комитет), на основании письменных ходатайств организаций, в которых работают, проходят службу граждане, определенные в подпункте 1.2 настоящего пункта (далее – список). Форма списка устанавливается Советом Министров Республики Беларусь.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Основание для заключения кредитных договоров на получение льготных кредитов возникает у граждан, включенных в списки, после утверждения этих списков. Кредитный договор не заключается с гражданином после утверждения списков, если до его заключения в ОАО «АСБ Беларусбанк» поступило уведомление об увольнении гражданина с работы, службы (далее – уведомление об увольнении).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Списки с указанием в отношении каждого гражданина даты начала действия первого трудового договора, назначения на первую должность после выдачи документа об образовании (далее – первый трудовой договор, первая должность) представляются в ОАО «АСБ Беларусбанк» в течение пяти рабочих дней со дня их утверждения, но не позднее чем за пять рабочих дней до истечения срока заключения гражданином кредитного договора на получение льготного кредита;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1.8. кредитные договоры на получение льготных кредитов заключаются в течение одного года с гражданами, определенными в абзацах втором и третьем подпункта 1.2 настоящего пункта: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из числа лиц, получивших образование по специальностям для воинских формирований и военизированных организаций, а также на условиях целевой подготовки в интересах Следственного комитета, – с даты назначения на первую должность;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из числа лиц, получивших высшее образование по направлению образования «Здравоохранение», – с даты начала действия первого трудового договора по должности врача-специалиста, провизора-специалиста;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из числа иных лиц, в том числе распределенных (перераспределенных), трудоустроенных в счет брони, направленных (перенаправленных) на работу в Государственный комитет судебных экспертиз, – с даты начала действия первого трудового договора.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 гражданами, определенными в абзацах четвертом и пятом подпункта 1.2 настоящего пункта, кредитные договоры заключаются в течение одного года с даты начала действия первого трудового договора, первого контракта о прохождении военной службы;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1.9. в случае увольнения с работы, службы до истечения сроков, предусмотренных в абзацах втором и третьем подпункта 1.6 настоящего пункта, ОАО «АСБ Беларусбанк» производится перерасчет процентов за пользование льготными кредитами в размере ставки рефинансирования Национального банка, увеличенной на 3 процентных пункта, с учетом изменения ставки рефинансирования Национального банка за период перерасчета, за исключением случаев, указанных в части второй настоящего подпункта.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Перерасчет размера процентов за пользование льготными кредитами не производится в отношении граждан: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относящихся к членам многодетной семьи на дату увольнения с работы, службы;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имеющих в составе семей на дату увольнения с работы, службы одного из родителей (усыновителей) или супруга (супругу) – инвалида I или II группы либо ребенка-инвалида в возрасте до 18 лет;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уволенных с работы, службы по основаниям, предусмотренным в приложении 1.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Перерасчет размера процентов за пользование льготными кредитами по действующим кредитным договорам при наличии задолженности по льготному кредиту производится ОАО «АСБ Беларусбанк» в течение пяти банковских дней со дня поступления в ОАО «АСБ Беларусбанк» уведомлений об увольнении кредитополучателей.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Перерасчет размера процентов за пользование льготными кредитами производится со дня, следующего за днем увольнения с работы, службы кредитополучателя;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1.10. в случае увольнения с работы, службы до истечения сроков, предусмотренных в абзацах втором и третьем подпункта 1.6 настоящего пункта, кредитополучатели (за исключением указанных в части второй подпункта 1.9 настоящего пункта) производят возмещение (компенсацию) потерь, связанных с предоставлением льготных кредитов, в том числе в случае досрочного возврата (погашения) льготных кредитов, в соответствии с пунктом 3 настоящего Указа путем уплаты суммы расходов республиканского бюджета, определяемой в соответствии с частью третьей настоящего подпункта.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ОАО «АСБ Беларусбанк» в пятнадцатидневный срок с даты поступления уведомлений об увольнении кредитополучателей, определенных в абзаце втором пункта 5 настоящего Указа, производит расчет суммы расходов республиканского бюджета за период со дня, следующего за днем выдачи первой части льготных кредитов, до даты увольнения с работы, службы кредитополучателя (полного возврата (погашения) льготных кредитов – в случае их возврата (погашения) до даты увольнения).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Сумма расходов республиканского бюджета определяется исходя из остатков задолженности по льготным кредитам за период, указанный в части второй настоящего подпункта, и размера ставки рефинансирования Национального банка, действовавшей (с учетом изменения) в соответствующем периоде начисления процентов, увеличенной на 3 процентных пункта и уменьшенной на величину процентной ставки за пользование льготным кредитом, установленной в кредитном договоре кредитополучателя.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Исполнительные комитеты, утвердившие списки, в пятидневный срок с даты поступления сведений о сумме расходов республиканского бюджета, рассчитанной в соответствии с частью третьей настоящего подпункта, уведомляют кредитополучателей о необходимости ее уплаты в сроки, указанные в части пятой настоящего подпункта.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Сумма расходов республиканского бюджета, определенная в соответствии с частью третьей настоящего подпункта, подлежит уплате кредитополучателями ежемесячно равными долями в течение одного года с месяца, следующего за месяцем направления им уведомлений в соответствии с частью четвертой настоящего подпункта, на счета по учету средств местных бюджетов базового уровня, бюджета г. Минска по месту утверждения списков с последующим перечислением указанных средств в доходы республиканского бюджета. В случае несвоевременного перечисления платежей по рассрочке кредитополучатель уплачивает пени в размере 1/360 ставки рефинансирования Национального банка, действующей на дату возникновения задолженности, за каждый день просрочки. Кредитополучатель может исполнить обязательства по уплате суммы расходов республиканского бюджета, указанной в настоящей части, досрочно.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случае невыполнения кредитополучателями обязательств по возмещению (компенсации) потерь, связанных с предоставлением льготных кредитов, ежемесячно в течение одного года либо досрочно, в том числе возмещения (компенсации) не в полном размере, денежные средства взыскиваются исполнительными комитетами по месту утверждения списков в судебном порядке по истечении срока, предусмотренного в части пятой настоящего подпункта. При этом денежные средства взыскиваются с кредитополучателей на счета по учету средств местных бюджетов базового уровня, бюджета г. Минска по месту утверждения списков с последующим перечислением указанных средств в доходы республиканского бюджета.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2. Ответственность за незаконное включение граждан в списки, несвоевременное представление в ОАО «АСБ Беларусбанк» уведомлений об увольнении, предусмотренных в абзаце втором пункта 5 настоящего Указа, возложить на исполнительные комитеты, контроль за правильностью включения граждан в списки – на областные (Минский городской) исполнительные комитеты.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3. Компенсация ОАО «АСБ Беларусбанк» потерь, связанных с предоставлением льготных кредитов гражданам, осуществляется за счет средств республиканского бюджета ежемесячно в течение всего срока, на который льготные кредиты предоставлены. Размер указанной компенсации рассчитывается как разница между ставкой рефинансирования Национального банка, действовавшей (с учетом изменения) в соответствующем периоде начисления процентов, увеличенной на 3 процентных пункта, и процентной ставкой за пользование льготным кредитом.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4. ОАО «АСБ Беларусбанк» обеспечить предоставление исполнительным комитетам, утвердившим списки: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сведений о гражданах, включенных в списки и являющихся кредитополучателями, с указанием фамилии, собственного имени, отчества (при его наличии), даты заключения кредитного договора не позднее пяти банковских дней со дня его заключения;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сведений о сумме расходов республиканского бюджета, возмещаемой кредитополучателем в случае, предусмотренном в части первой подпункта 1.10 пункта 1 настоящего Указа, без взимания вознаграждения (платы).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5. Исполнительным комитетам, утвердившим списки, обеспечить предоставление: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ОАО «АСБ Беларусбанк» уведомлений об увольнении граждан, включенных в списки, но не заключивших кредитные договоры, с указанием даты их увольнения, а также уведомлений об увольнении с работы, службы кредитополучателей в случае, предусмотренном в части первой подпункта 1.10 пункта 1 настоящего Указа, в отношении которых необходимо провести перерасчет размера процентов за пользование льготными кредитами и (или) расчет суммы расходов бюджета, подлежащих уплате кредитополучателями, – в течение пяти рабочих дней со дня получения ими таких уведомлений;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организациям, представившим письменные ходатайства о включении граждан в списки, информации о кредитополучателях, работающих, проходящих службу в этих организациях, с указанием даты заключения кредитных договоров – в течение пяти рабочих дней со дня получения исполнительными комитетами таких сведений.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6. Организациям обеспечить представление исполнительным комитетам, утвердившим списки: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уведомлений об увольнении граждан, в отношении которых были представлены письменные ходатайства о включении в списки, с указанием даты их увольнения – в течение пяти рабочих дней со дня увольнения;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уведомлений об увольнении кредитополучателей до истечения сроков, предусмотренных в абзацах втором и третьем подпункта 1.6 пункта 1 настоящего Указа, с указанием даты и причин их увольнения – в течение пяти рабочих дней со дня увольнения.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7. Предоставить право исполнительным комитетам запрашивать от организаций, в которых работают, проходят службу граждане, включенные в списки и (или) являющиеся кредитополучателями, дополнительные сведения для реализации настоящего Указа.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8. Для целей настоящего Указа используются термины и их определения в значениях, определенных в приложении 2.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9. В целях реализации настоящего Указа обработка персональных данных граждан осуществляется без их согласия, представление ОАО «АСБ Беларусбанк» сведений, предусмотренных в пункте 4 настоящего Указа, не является нарушением банковской тайны.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10. Предоставить право Совету Министров Республики Беларусь или уполномоченным им органам разъяснять вопросы применения настоящего Указа.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tbl>
      <w:tblGrid>
        <w:gridCol w:w="3409" w:type="dxa"/>
        <w:gridCol w:w="1591" w:type="dxa"/>
      </w:tblGrid>
      <w:tblPr>
        <w:tblW w:w="5000" w:type="pct"/>
        <w:tblCellSpacing w:w="0" w:type="dxa"/>
        <w:tblLayout w:type="autofit"/>
      </w:tblPr>
      <w:tr>
        <w:trPr/>
        <w:tc>
          <w:tcPr>
            <w:tcW w:w="3409" w:type="pct"/>
            <w:vAlign w:val="top"/>
            <w:vMerge w:val="restart"/>
          </w:tcPr>
          <w:p>
            <w:pPr>
              <w:jc w:val="both"/>
              <w:ind w:left="0" w:right="0" w:firstLine="566.92913385827"/>
              <w:spacing w:after="60"/>
            </w:pPr>
            <w:r>
              <w:rPr>
                <w:sz w:val="24"/>
                <w:szCs w:val="24"/>
              </w:rPr>
              <w:t xml:space="preserve"> </w:t>
            </w:r>
          </w:p>
        </w:tc>
        <w:tc>
          <w:tcPr>
            <w:tcW w:w="1591" w:type="pct"/>
            <w:vAlign w:val="top"/>
            <w:vMerge w:val="restart"/>
          </w:tcPr>
          <w:p>
            <w:pPr>
              <w:spacing w:after="28.000005"/>
            </w:pPr>
            <w:r>
              <w:rPr>
                <w:sz w:val="22"/>
                <w:szCs w:val="22"/>
              </w:rPr>
              <w:t xml:space="preserve">Приложение 1</w:t>
            </w:r>
          </w:p>
          <w:p>
            <w:pPr>
              <w:spacing w:after="60"/>
            </w:pPr>
            <w:r>
              <w:rPr>
                <w:sz w:val="22"/>
                <w:szCs w:val="22"/>
              </w:rPr>
              <w:t xml:space="preserve">к Указу Президента</w:t>
            </w:r>
            <w:br/>
            <w:r>
              <w:rPr>
                <w:sz w:val="22"/>
                <w:szCs w:val="22"/>
              </w:rPr>
              <w:t xml:space="preserve">Республики Беларусь</w:t>
            </w:r>
            <w:br/>
            <w:r>
              <w:rPr>
                <w:sz w:val="22"/>
                <w:szCs w:val="22"/>
              </w:rPr>
              <w:t xml:space="preserve">27.11.2000 № 631</w:t>
            </w:r>
            <w:br/>
            <w:r>
              <w:rPr>
                <w:sz w:val="22"/>
                <w:szCs w:val="22"/>
              </w:rPr>
              <w:t xml:space="preserve">(в редакции Указа Президента</w:t>
            </w:r>
            <w:br/>
            <w:r>
              <w:rPr>
                <w:sz w:val="22"/>
                <w:szCs w:val="22"/>
              </w:rPr>
              <w:t xml:space="preserve">Республики Беларусь</w:t>
            </w:r>
            <w:br/>
            <w:r>
              <w:rPr>
                <w:sz w:val="22"/>
                <w:szCs w:val="22"/>
              </w:rPr>
              <w:t xml:space="preserve">14.03.2024 № 95)</w:t>
            </w:r>
          </w:p>
        </w:tc>
      </w:tr>
    </w:tbl>
    <w:p>
      <w:pPr>
        <w:jc w:val="left"/>
        <w:spacing w:before="240" w:after="240"/>
      </w:pPr>
      <w:r>
        <w:rPr>
          <w:sz w:val="24"/>
          <w:szCs w:val="24"/>
          <w:b/>
          <w:bCs/>
        </w:rPr>
        <w:t xml:space="preserve">ПЕРЕЧЕНЬ</w:t>
      </w:r>
      <w:br/>
      <w:r>
        <w:rPr>
          <w:sz w:val="24"/>
          <w:szCs w:val="24"/>
          <w:b/>
          <w:bCs/>
        </w:rPr>
        <w:t xml:space="preserve">оснований увольнения с работы, военной службы и службы в военизированных организациях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Основания, предусмотренные: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статье 41 (в случае болезни, инвалидности, нарушения нанимателем законодательства о труде, коллективного договора, трудового договора), пунктах 1 и 3 статьи 42, пункте 1 статьи 44, пункте 4 части третьей статьи 260 Трудового кодекса Республики Беларусь;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подпункте 210.3 пункта 210, подпункте 211.1 пункта 211, подпунктах 212.1 и 212.2 пункта 212, подпунктах 215.1 и 215.2 пункта 215, подпункте 217.2 пункта 217 Положения о порядке прохождения военной службы, утвержденного Указом Президента Республики Беларусь от 25 апреля 2005 г. № 186;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подпункте 146.2 пункта 146, подпунктах 147.1 и 147.2 пункта 147, подпункте 149.2 пункта 149 Положения о прохождении службы в органах финансовых расследований Комитета государственного контроля, утвержденного Указом Президента Республики Беларусь от 20 декабря 2007 г. № 660;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подпунктах 158.3 и 158.4 части первой пункта 158, подпунктах 159.1 и 159.5 пункта 159, подпункте 160.1 пункта 160, подпункте 161.2 пункта 161 Положения о порядке прохождения службы в Следственном комитете Республики Беларусь, утвержденного Указом Президента Республики Беларусь от 10 ноября 2011 г. № 518;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подпункте 179.3 пункта 179, подпунктах 180.1 и 180.5 пункта 180, пункте 181, подпункте 182.2 пункта 182 Положения о прохождении службы в органах внутренних дел Республики Беларусь, утвержденного Указом Президента Республики Беларусь от 15 марта 2012 г. № 133;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подпункте 171.3 пункта 171, подпунктах 172.1 и 172.5 пункта 172, подпункте 173.1 пункта 173, подпункте 174.2 пункта 174 Положения о прохождении службы в органах и подразделениях по чрезвычайным ситуациям Республики Беларусь, утвержденного Указом Президента Республики Беларусь от 11 января 2013 г. № 22;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подпункте 179.3 пункта 179, подпунктах 180.1 и 180.5 пункта 180, подпункте 181.1 пункта 181, подпункте 182.2 пункта 182 Положения о порядке прохождения службы в Государственном комитете судебных экспертиз Республики Беларусь, утвержденного Указом Президента Республики Беларусь от 1 июля 2013 г. № 292.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tbl>
      <w:tblGrid>
        <w:gridCol w:w="3409" w:type="dxa"/>
        <w:gridCol w:w="1591" w:type="dxa"/>
      </w:tblGrid>
      <w:tblPr>
        <w:tblW w:w="5000" w:type="pct"/>
        <w:tblCellSpacing w:w="0" w:type="dxa"/>
        <w:tblLayout w:type="autofit"/>
      </w:tblPr>
      <w:tr>
        <w:trPr/>
        <w:tc>
          <w:tcPr>
            <w:tcW w:w="3409" w:type="pct"/>
            <w:vAlign w:val="top"/>
            <w:vMerge w:val="restart"/>
          </w:tcPr>
          <w:p>
            <w:pPr>
              <w:jc w:val="both"/>
              <w:ind w:left="0" w:right="0" w:firstLine="566.92913385827"/>
              <w:spacing w:after="60"/>
            </w:pPr>
            <w:r>
              <w:rPr>
                <w:sz w:val="24"/>
                <w:szCs w:val="24"/>
              </w:rPr>
              <w:t xml:space="preserve"> </w:t>
            </w:r>
          </w:p>
        </w:tc>
        <w:tc>
          <w:tcPr>
            <w:tcW w:w="1591" w:type="pct"/>
            <w:vAlign w:val="top"/>
            <w:vMerge w:val="restart"/>
          </w:tcPr>
          <w:p>
            <w:pPr>
              <w:spacing w:after="28.000005"/>
            </w:pPr>
            <w:r>
              <w:rPr>
                <w:sz w:val="22"/>
                <w:szCs w:val="22"/>
              </w:rPr>
              <w:t xml:space="preserve">Приложение 2</w:t>
            </w:r>
          </w:p>
          <w:p>
            <w:pPr>
              <w:spacing w:after="60"/>
            </w:pPr>
            <w:r>
              <w:rPr>
                <w:sz w:val="22"/>
                <w:szCs w:val="22"/>
              </w:rPr>
              <w:t xml:space="preserve">к Указу Президента</w:t>
            </w:r>
            <w:br/>
            <w:r>
              <w:rPr>
                <w:sz w:val="22"/>
                <w:szCs w:val="22"/>
              </w:rPr>
              <w:t xml:space="preserve">Республики Беларусь</w:t>
            </w:r>
            <w:br/>
            <w:r>
              <w:rPr>
                <w:sz w:val="22"/>
                <w:szCs w:val="22"/>
              </w:rPr>
              <w:t xml:space="preserve">27.11.2000 № 631</w:t>
            </w:r>
            <w:br/>
            <w:r>
              <w:rPr>
                <w:sz w:val="22"/>
                <w:szCs w:val="22"/>
              </w:rPr>
              <w:t xml:space="preserve">(в редакции Указа Президента</w:t>
            </w:r>
            <w:br/>
            <w:r>
              <w:rPr>
                <w:sz w:val="22"/>
                <w:szCs w:val="22"/>
              </w:rPr>
              <w:t xml:space="preserve">Республики Беларусь</w:t>
            </w:r>
            <w:br/>
            <w:r>
              <w:rPr>
                <w:sz w:val="22"/>
                <w:szCs w:val="22"/>
              </w:rPr>
              <w:t xml:space="preserve">14.03.2024 № 95)</w:t>
            </w:r>
          </w:p>
        </w:tc>
      </w:tr>
    </w:tbl>
    <w:p>
      <w:pPr>
        <w:jc w:val="left"/>
        <w:spacing w:before="240" w:after="240"/>
      </w:pPr>
      <w:r>
        <w:rPr>
          <w:sz w:val="24"/>
          <w:szCs w:val="24"/>
          <w:b/>
          <w:bCs/>
        </w:rPr>
        <w:t xml:space="preserve">ПЕРЕЧЕНЬ</w:t>
      </w:r>
      <w:br/>
      <w:r>
        <w:rPr>
          <w:sz w:val="24"/>
          <w:szCs w:val="24"/>
          <w:b/>
          <w:bCs/>
        </w:rPr>
        <w:t xml:space="preserve">терминов и их определений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1. Государственная организация – государственный орган, унитарное предприятие, учреждение, государственное объединение и иное юридическое лицо, имущество которых находится в собственности Республики Беларусь либо ее административно-территориальной единицы и закреплено за ними на праве хозяйственного ведения или оперативного управления (их обособленные подразделения), а также организация, 50 и более процентов акций (долей в уставном фонде) которой находится в собственности Республики Беларусь и (или) ее административно-территориальной единицы (ее обособленные подразделения).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2. Государственное учреждение образования – учреждение образования государственной формы собственности, иностранная организация, в которую направлены граждане для получения образования за счет средств республиканского бюджета по специальностям, необходимым для Республики Беларусь, подготовка по которым в Республике Беларусь не осуществляется, учебное заведение (образовательное учреждение, организация) Российской Федерации, осуществляющее на основании двусторонних договоров (договоров о сотрудничестве) подготовку кадров для Вооруженных Сил, других войск и воинских формирований, военизированных организаций Республики Беларусь, учреждение высшего образования в сфере культуры Российской Федерации согласно перечню таких учреждений, устанавливаемому Министерством культуры Республики Беларусь.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3. Кредитополучатель – физическое лицо, заключившее договор с банком о получении льготного кредита в размере и на условиях, определенных настоящим Указом.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4. Место жительства – населенный пункт, в котором гражданин зарегистрирован по месту жительства.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5. Непродовольственные потребительские товары – товары, не предназначенные для употребления в пищу, приобретаемые физическими лицами для личного, семейного, домашнего использования, не связанного с предпринимательской деятельностью.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6. Сельскохозяйственная организация – юридическое лицо, включая его обособленные подразделения, основной вид деятельности которого относится к группам 011–016, подклассам 03120, 03220, 13104, 43121 (в части осушения сельскохозяйственных участков) общегосударственного классификатора Республики Беларусь ОКРБ 005-2011 «Виды экономической деятельности». При этом в качестве критерия определения основного вида деятельности юридического лица и обособленного подразделения, ведущего учет выручки от реализации продукции, товаров, работ, услуг, применяется выручка от реализации продукции, товаров, работ, услуг за предыдущий год, для юридического лица, осуществляющего переработку собственной продукции, а также обособленного подразделения, не ведущего учет выручки от реализации продукции, товаров, работ, услуг, – среднесписочная численность работников за предыдущий год.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7. Термин «сельский населенный пункт» используется в значении, определенном в части пятой статьи 8 Закона Республики Беларусь от 5 мая 1998 г. № 154-З «Об административно-территориальном устройстве Республики Беларусь».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sectPr>
      <w:pgSz w:orient="portrait" w:w="11905.511811024" w:h="16837.795275591"/>
      <w:pgMar w:top="1440" w:right="566.92913385827" w:bottom="1440" w:left="1700.7874015748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2025-09-03T15:25:36+03:00</dcterms:created>
  <dcterms:modified xsi:type="dcterms:W3CDTF">2025-09-03T15:25:36+03:00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