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/>
        <w:ind w:left="4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Комментарий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310"/>
        <w:ind w:left="40" w:right="412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к постановлению Совета Министров Республики Беларусь и Национального банка Республики Беларусь от 25 сентября 2025 г. № 529/24 «Об изменении постановления Совета Министров Республики Беларусь и Национального банка Республики Беларусь от 6 июля 2011 г. № 924/16»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40" w:right="20" w:firstLine="72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Советом Министров Республики Беларусь и Национальным банком Республики Беларусь 25 сентября 2025 г. принято постановление № 529/24 «Об изменении постановления Совета Министров Республики Беларусь и Национального банка Республики Беларусь от 6 июля 2011 г. № 924/16» (далее - постановление № 529/24).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40" w:right="0" w:firstLine="72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Постановлением № 529/24 предусмотрено следующее.</w:t>
      </w:r>
    </w:p>
    <w:p>
      <w:pPr>
        <w:pStyle w:val="Style4"/>
        <w:numPr>
          <w:ilvl w:val="0"/>
          <w:numId w:val="1"/>
        </w:numPr>
        <w:widowControl w:val="0"/>
        <w:keepNext w:val="0"/>
        <w:keepLines w:val="0"/>
        <w:shd w:val="clear" w:color="auto" w:fill="auto"/>
        <w:bidi w:val="0"/>
        <w:spacing w:before="0" w:after="0"/>
        <w:ind w:left="40" w:right="2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Право </w:t>
      </w:r>
      <w:r>
        <w:rPr>
          <w:rStyle w:val="CharStyle6"/>
          <w:b w:val="0"/>
          <w:bCs w:val="0"/>
        </w:rPr>
        <w:t xml:space="preserve">субъектов хозяйствования </w:t>
      </w: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до 1 марта 2029 г. </w:t>
      </w:r>
      <w:r>
        <w:rPr>
          <w:rStyle w:val="CharStyle6"/>
          <w:b w:val="0"/>
          <w:bCs w:val="0"/>
        </w:rPr>
        <w:t xml:space="preserve">в отношении товаров, </w:t>
      </w: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подлежащих маркировке </w:t>
      </w:r>
      <w:r>
        <w:rPr>
          <w:rStyle w:val="CharStyle6"/>
          <w:b w:val="0"/>
          <w:bCs w:val="0"/>
        </w:rPr>
        <w:t xml:space="preserve">средствами идентификации, реализуемых </w:t>
      </w: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на территории сельской местности и в торговых объектах с торговой площадью менее 200 квадратных метров не обеспечивать: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40" w:right="0" w:firstLine="72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ведение дифференцированного учета;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40" w:right="0" w:firstLine="72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считывание кодов маркировки кассовым оборудованием;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40" w:right="20" w:firstLine="72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передачу в систему контроля кассового оборудования информации о реализации маркированных товаров.</w:t>
      </w:r>
    </w:p>
    <w:p>
      <w:pPr>
        <w:pStyle w:val="Style2"/>
        <w:numPr>
          <w:ilvl w:val="0"/>
          <w:numId w:val="1"/>
        </w:numPr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40" w:right="20" w:firstLine="72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Аналогичное право в части необеспечения ведения дифференцированного учета и передачи в систему контроля кассового оборудования (далее - СККО) информации о реализации маркированных товаров до 1 марта 2029 г. предоставлено для: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40" w:right="0" w:firstLine="72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национального оператора почтовой связи;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40" w:right="20" w:firstLine="72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юридических лиц и индивидуальных предпринимателей, имеющих право не использовать кассовое оборудование в соответствии с частью четвертой пункта 1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 924/16 (далее - Положение);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40" w:right="20" w:firstLine="72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Справочно. В соответствии с частью четвертой пункта 1 Положения вправе не использовать кассовое оборудование юридические лица и индивидуальные предприниматели</w:t>
      </w:r>
      <w:r>
        <w:rPr>
          <w:rStyle w:val="CharStyle9"/>
          <w:i w:val="0"/>
          <w:iCs w:val="0"/>
        </w:rPr>
        <w:t xml:space="preserve">, </w:t>
      </w: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которые осуществляют прием платежей в свой адрес и (или) адрес третьих лиц только в безналичной форме в соответствии с законодательством в области платежных систем и платежных услуг при одновременном соблюдении следующих условий:</w:t>
      </w:r>
      <w:r>
        <w:br w:type="page"/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20" w:right="2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прием платежа осуществляется без непосредственного обслуживания юридическими лицами и индивидуальными предпринимателями покупателей (потребителей), связанного с приемом платежа в свой адрес и (или) адрес третьих лиц;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20" w:right="2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прием такого платежа осуществляется через банки, небанковские кредитно-финансовые организации, иные платежные агрегаторы.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20" w:right="20" w:firstLine="70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субъектов хозяйствования, реализующих такие товары посредством платежных агрегаторов.</w:t>
      </w:r>
    </w:p>
    <w:p>
      <w:pPr>
        <w:pStyle w:val="Style2"/>
        <w:numPr>
          <w:ilvl w:val="0"/>
          <w:numId w:val="1"/>
        </w:numPr>
        <w:tabs>
          <w:tab w:leader="none" w:pos="1090" w:val="left"/>
        </w:tabs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20" w:right="20" w:firstLine="70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Возможность реализации медицинским работником в сельской местности, в которой отсутствуют аптеки, медицинских изделий и товаров аптечного ассортимента </w:t>
      </w:r>
      <w:r>
        <w:rPr>
          <w:rStyle w:val="CharStyle13"/>
        </w:rPr>
        <w:t>без использования кассового оборудования.</w:t>
      </w:r>
    </w:p>
    <w:p>
      <w:pPr>
        <w:pStyle w:val="Style2"/>
        <w:tabs>
          <w:tab w:leader="none" w:pos="4733" w:val="left"/>
        </w:tabs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20" w:right="0" w:firstLine="70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Нормы постановления №</w:t>
        <w:tab/>
        <w:t>529/24 не запрещают субъектам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20" w:right="2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хозяйствования обеспечивать ведение дифференцированного учета и осуществлять передачу в СККО информации о реализации товаров, подлежащих маркировке средствами идентификации. Инфраструктура СККО, государственной системы маркировки товаров унифицированными контрольными знаками или средствами идентификации, операторов программных кассовых систем готова для приема и обработки такой информации.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20" w:right="20" w:firstLine="70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Субъекты хозяйствования в соответствии с постановлением № 529/24 без нарушения требований законодательства о приеме средств платежа и использования кассового оборудования, смогут до 1 марта 2029 г. урегулировать отдельные вопросы, связанные с ведением дифференцированного учета, передачей информации в систему контроля кассового оборудования о реализации товаров, маркированных средствами идентификации.</w:t>
      </w:r>
    </w:p>
    <w:p>
      <w:pPr>
        <w:pStyle w:val="Style2"/>
        <w:tabs>
          <w:tab w:leader="none" w:pos="3730" w:val="left"/>
        </w:tabs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20" w:right="0" w:firstLine="70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Постановление №</w:t>
        <w:tab/>
        <w:t>529/24 направлено на удовлетворение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20" w:right="2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потребительского спроса населения, проживающего в сельской местности, в том числе на медицинские изделия и товары аптечного ассортимента.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20" w:right="20" w:firstLine="70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Постановление №529/24 вступает в силу после его официального опубликования и распространяет свое действие на отношения, возникшие с 1 июля 2025 г.</w:t>
      </w:r>
    </w:p>
    <w:sectPr>
      <w:headerReference w:type="default" r:id="rId5"/>
      <w:titlePg/>
      <w:footnotePr>
        <w:pos w:val="pageBottom"/>
        <w:numFmt w:val="decimal"/>
        <w:numRestart w:val="continuous"/>
      </w:footnotePr>
      <w:type w:val="continuous"/>
      <w:pgSz w:w="11909" w:h="16834"/>
      <w:pgMar w:top="1451" w:left="1189" w:right="1177" w:bottom="1241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5.95pt;margin-top:61.1pt;width:4.3pt;height:6.9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2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6">
    <w:name w:val="Char Style 6"/>
    <w:basedOn w:val="CharStyle5"/>
    <w:rPr>
      <w:lang w:val="ru-RU" w:eastAsia="ru-RU" w:bidi="ru-RU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/>
      <w:iCs/>
      <w:u w:val="none"/>
      <w:strike w:val="0"/>
      <w:smallCaps w:val="0"/>
      <w:sz w:val="28"/>
      <w:szCs w:val="28"/>
    </w:rPr>
  </w:style>
  <w:style w:type="character" w:customStyle="1" w:styleId="CharStyle9">
    <w:name w:val="Char Style 9"/>
    <w:basedOn w:val="CharStyle8"/>
    <w:rPr>
      <w:lang w:val="ru-RU" w:eastAsia="ru-RU" w:bidi="ru-RU"/>
      <w:b/>
      <w:bCs/>
      <w:i/>
      <w:iCs/>
      <w:sz w:val="18"/>
      <w:szCs w:val="1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1">
    <w:name w:val="Char Style 11"/>
    <w:basedOn w:val="DefaultParagraphFont"/>
    <w:link w:val="Style10"/>
    <w:rPr>
      <w:b/>
      <w:bCs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12">
    <w:name w:val="Char Style 12"/>
    <w:basedOn w:val="CharStyle11"/>
    <w:rPr>
      <w:lang w:val="ru-RU" w:eastAsia="ru-RU" w:bidi="ru-RU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3">
    <w:name w:val="Char Style 13"/>
    <w:basedOn w:val="CharStyle3"/>
    <w:rPr>
      <w:lang w:val="ru-RU" w:eastAsia="ru-RU" w:bidi="ru-RU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both"/>
      <w:spacing w:line="278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both"/>
      <w:spacing w:line="341" w:lineRule="exact"/>
      <w:ind w:firstLine="720"/>
    </w:pPr>
    <w:rPr>
      <w:b/>
      <w:bCs/>
      <w:i w:val="0"/>
      <w:iCs w:val="0"/>
      <w:u w:val="none"/>
      <w:strike w:val="0"/>
      <w:smallCaps w:val="0"/>
      <w:sz w:val="28"/>
      <w:szCs w:val="28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jc w:val="both"/>
      <w:spacing w:line="278" w:lineRule="exact"/>
      <w:ind w:firstLine="700"/>
    </w:pPr>
    <w:rPr>
      <w:b w:val="0"/>
      <w:bCs w:val="0"/>
      <w:i/>
      <w:iCs/>
      <w:u w:val="none"/>
      <w:strike w:val="0"/>
      <w:smallCaps w:val="0"/>
      <w:sz w:val="28"/>
      <w:szCs w:val="28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Балакер Елена Георгиевна</dc:creator>
  <cp:keywords/>
</cp:coreProperties>
</file>