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5E466C">
        <w:rPr>
          <w:caps/>
          <w:color w:val="auto"/>
          <w:sz w:val="24"/>
          <w:szCs w:val="24"/>
          <w:lang w:eastAsia="en-US"/>
        </w:rPr>
        <w:t>ПОСТАНОВЛЕНИЕ МИНИСТЕРСТВА АНТИМОНОПОЛЬНОГО РЕГУЛИРОВАНИЯ И ТОРГОВЛИ РЕСПУБЛИКИ БЕЛАРУСЬ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21 октября 2022 г. № 63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right="2268" w:firstLine="0"/>
        <w:rPr>
          <w:b/>
          <w:bCs/>
          <w:color w:val="auto"/>
          <w:sz w:val="28"/>
          <w:szCs w:val="28"/>
          <w:lang w:eastAsia="en-US"/>
        </w:rPr>
      </w:pPr>
      <w:r w:rsidRPr="005E466C">
        <w:rPr>
          <w:b/>
          <w:bCs/>
          <w:color w:val="auto"/>
          <w:sz w:val="28"/>
          <w:szCs w:val="28"/>
          <w:lang w:eastAsia="en-US"/>
        </w:rPr>
        <w:t>Об утверждении регламента административной процедуры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021" w:firstLine="0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Изменения и дополнения: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 26 октября 2022 г. № 69 (зарегистрировано в Национальном реестре - № 8/38935 от 28.10.2022 г.) &lt;W22238935&gt;;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 29 ноября 2022 г. № 79 (зарегистрировано в Национальном реестре - № 8/39109 от 06.12.2022 г.) &lt;W22239109&gt;;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 10 июля 2024 г. № 49 (зарегистрировано в Национальном реестре - № 8/41936 от 25.07.2024 г.) &lt;W22441936&gt;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На основании абзаца третьего статьи 9</w:t>
      </w:r>
      <w:r w:rsidRPr="005E466C">
        <w:rPr>
          <w:color w:val="auto"/>
          <w:sz w:val="24"/>
          <w:szCs w:val="24"/>
          <w:vertAlign w:val="superscript"/>
          <w:lang w:eastAsia="en-US"/>
        </w:rPr>
        <w:t>1</w:t>
      </w:r>
      <w:r w:rsidRPr="005E466C">
        <w:rPr>
          <w:color w:val="auto"/>
          <w:sz w:val="24"/>
          <w:szCs w:val="24"/>
          <w:lang w:eastAsia="en-US"/>
        </w:rPr>
        <w:t xml:space="preserve"> Закона Республики Беларусь от 28 октября 2008 г. № 433-З «Об основах административных процедур»,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 Утвердить Регламент административной процедуры, осуществляемой в отношении субъектов хозяйствования, по подпункту* 8.3.2 «Согласование перечня товаров, обязательных к наличию для реализации в торговом объекте» (прилагается).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5E466C">
        <w:rPr>
          <w:color w:val="auto"/>
          <w:vertAlign w:val="superscript"/>
          <w:lang w:eastAsia="en-US"/>
        </w:rPr>
        <w:t>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5E466C">
        <w:rPr>
          <w:color w:val="auto"/>
          <w:lang w:eastAsia="en-US"/>
        </w:rPr>
        <w:t>*Для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2. Настоящее постановление вступает в силу после его официального опубликования.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5E466C" w:rsidRPr="005E466C" w:rsidTr="005E466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А.И.Богданов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5E466C">
        <w:rPr>
          <w:color w:val="auto"/>
          <w:sz w:val="22"/>
          <w:szCs w:val="22"/>
          <w:lang w:eastAsia="en-US"/>
        </w:rPr>
        <w:t>СОГЛАСОВАНО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5E466C">
        <w:rPr>
          <w:color w:val="auto"/>
          <w:sz w:val="22"/>
          <w:szCs w:val="22"/>
          <w:lang w:eastAsia="en-US"/>
        </w:rPr>
        <w:t>Министерство экономики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5E466C">
        <w:rPr>
          <w:color w:val="auto"/>
          <w:sz w:val="22"/>
          <w:szCs w:val="22"/>
          <w:lang w:eastAsia="en-US"/>
        </w:rPr>
        <w:t>Республики Беларусь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5E466C" w:rsidRPr="005E466C" w:rsidTr="005E466C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 xml:space="preserve">Министерства антимонопольного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21.10.2022 №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63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5E466C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5E466C">
        <w:rPr>
          <w:b/>
          <w:bCs/>
          <w:color w:val="auto"/>
          <w:sz w:val="24"/>
          <w:szCs w:val="24"/>
          <w:lang w:eastAsia="en-US"/>
        </w:rPr>
        <w:br/>
        <w:t xml:space="preserve">административной процедуры, осуществляемой в отношении субъектов </w:t>
      </w:r>
      <w:r w:rsidRPr="005E466C">
        <w:rPr>
          <w:b/>
          <w:bCs/>
          <w:color w:val="auto"/>
          <w:sz w:val="24"/>
          <w:szCs w:val="24"/>
          <w:lang w:eastAsia="en-US"/>
        </w:rPr>
        <w:lastRenderedPageBreak/>
        <w:t>хозяйствования, по подпункту 8.3.2 «Согласование перечня товаров, обязательных к наличию для реализации в торговом объекте»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администрацией района в г. Минске по месту нахождения торгового объекта.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В случае расположения торгового объекта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Закон Республики Беларусь «Об основах административных процедур»;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22 июля 2014 г. № 703 «О продаже отдельных видов товаров, осуществлении общественного питания и порядке разработки, утверждения и согласования перечня товаров, обязательных к наличию для реализации в торговом объекте»;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 19 ноября 2020 г. № 74 «О перечнях товаров»;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1.3. иные имеющиеся особенности осуществления административной процедуры: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 и третьем пункта 9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703;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1.3.2. обжалование административного решения, принятого администрацией парка, осуществляется в судебном порядке.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98"/>
        <w:gridCol w:w="3897"/>
        <w:gridCol w:w="2784"/>
      </w:tblGrid>
      <w:tr w:rsidR="005E466C" w:rsidRPr="005E466C" w:rsidTr="005E466C">
        <w:trPr>
          <w:trHeight w:val="240"/>
        </w:trPr>
        <w:tc>
          <w:tcPr>
            <w:tcW w:w="15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Наименование документа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Требования, предъявляемые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документу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Форма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порядок представления документа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сведений</w:t>
            </w:r>
          </w:p>
        </w:tc>
      </w:tr>
      <w:tr w:rsidR="005E466C" w:rsidRPr="005E466C" w:rsidTr="005E466C">
        <w:trPr>
          <w:trHeight w:val="240"/>
        </w:trPr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заявление 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согласовании перечня товаров, обязательных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наличию для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реализации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по форме согласно приложению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2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Положению 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порядке разработки, утверждения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согласования перечня товаров, обязательных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наличию для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реализации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в письменной форме:</w:t>
            </w:r>
            <w:r w:rsidRPr="005E466C">
              <w:rPr>
                <w:color w:val="auto"/>
                <w:lang w:eastAsia="en-US"/>
              </w:rPr>
              <w:br/>
              <w:t>в ходе приема заинтересованного лица;</w:t>
            </w:r>
            <w:r w:rsidRPr="005E466C">
              <w:rPr>
                <w:color w:val="auto"/>
                <w:lang w:eastAsia="en-US"/>
              </w:rPr>
              <w:br/>
              <w:t>посредством почтовой связи</w:t>
            </w:r>
          </w:p>
        </w:tc>
      </w:tr>
      <w:tr w:rsidR="005E466C" w:rsidRPr="005E466C" w:rsidTr="005E466C">
        <w:trPr>
          <w:trHeight w:val="240"/>
        </w:trPr>
        <w:tc>
          <w:tcPr>
            <w:tcW w:w="15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перечень товаров, обязательных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наличию для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реализации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по форме согласно приложению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1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Положению 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порядке разработки, утверждения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согласования перечня товаров, обязательных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наличию для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реализации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52"/>
        <w:gridCol w:w="2349"/>
        <w:gridCol w:w="2788"/>
      </w:tblGrid>
      <w:tr w:rsidR="005E466C" w:rsidRPr="005E466C" w:rsidTr="005E466C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Наименование документа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Срок действия</w:t>
            </w:r>
          </w:p>
        </w:tc>
        <w:tc>
          <w:tcPr>
            <w:tcW w:w="14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Форма представления</w:t>
            </w:r>
          </w:p>
        </w:tc>
      </w:tr>
      <w:tr w:rsidR="005E466C" w:rsidRPr="005E466C" w:rsidTr="005E466C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согласованный перечень товаров, обязательных к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наличию для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реализации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бессрочно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 xml:space="preserve">4. Порядок подачи (отзыва) административной жалобы: 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19"/>
        <w:gridCol w:w="3670"/>
      </w:tblGrid>
      <w:tr w:rsidR="005E466C" w:rsidRPr="005E466C" w:rsidTr="005E466C">
        <w:trPr>
          <w:trHeight w:val="240"/>
        </w:trPr>
        <w:tc>
          <w:tcPr>
            <w:tcW w:w="31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5E466C" w:rsidRPr="005E466C" w:rsidTr="005E466C">
        <w:trPr>
          <w:trHeight w:val="240"/>
        </w:trPr>
        <w:tc>
          <w:tcPr>
            <w:tcW w:w="31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областной исполнительный комитет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– по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 xml:space="preserve">Минска); </w:t>
            </w:r>
            <w:r w:rsidRPr="005E466C">
              <w:rPr>
                <w:color w:val="auto"/>
                <w:lang w:eastAsia="en-US"/>
              </w:rPr>
              <w:br/>
              <w:t>Минский городской исполнительный комитет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– по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административному решению, принятому местной администрацией района в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г.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 xml:space="preserve">Минске 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5E466C" w:rsidRPr="005E466C">
          <w:pgSz w:w="12240" w:h="15840"/>
          <w:pgMar w:top="1134" w:right="850" w:bottom="1134" w:left="1701" w:header="720" w:footer="720" w:gutter="0"/>
          <w:cols w:space="720"/>
        </w:sectPr>
      </w:pP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3512"/>
      </w:tblGrid>
      <w:tr w:rsidR="005E466C" w:rsidRPr="005E466C" w:rsidTr="005E466C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к Регламенту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 xml:space="preserve">административной процедуры,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отношении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 xml:space="preserve">субъектов хозяйствования,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по подпункту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8.3.2 «Согласование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 xml:space="preserve">перечня товаров, обязательных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к наличию для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реализации 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 xml:space="preserve">в торговом объекте» 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lang w:eastAsia="en-US"/>
        </w:rPr>
      </w:pPr>
      <w:r w:rsidRPr="005E466C">
        <w:rPr>
          <w:color w:val="auto"/>
          <w:lang w:eastAsia="en-US"/>
        </w:rPr>
        <w:t>Форма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847"/>
      </w:tblGrid>
      <w:tr w:rsidR="005E466C" w:rsidRPr="005E466C" w:rsidTr="005E466C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5E466C" w:rsidRPr="005E466C" w:rsidTr="005E466C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____________________________________________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5E466C">
        <w:rPr>
          <w:b/>
          <w:bCs/>
          <w:color w:val="auto"/>
          <w:sz w:val="24"/>
          <w:szCs w:val="24"/>
          <w:lang w:eastAsia="en-US"/>
        </w:rPr>
        <w:t xml:space="preserve">ЗАЯВЛЕНИЕ </w:t>
      </w:r>
      <w:r w:rsidRPr="005E466C">
        <w:rPr>
          <w:b/>
          <w:bCs/>
          <w:color w:val="auto"/>
          <w:sz w:val="24"/>
          <w:szCs w:val="24"/>
          <w:lang w:eastAsia="en-US"/>
        </w:rPr>
        <w:br/>
        <w:t>о согласовании перечня товаров, обязательных к наличию для реализации в торговом объекте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(полное наименование и место нахождения юридического лица либо фамилия, собственное имя,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отчество (если таковое имеется) и место жительства индивидуального предпринимателя,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учетный номер плательщика, номера контактных телефонов, адрес электронной почты (при наличии)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просит согласовать перечень товаров, обязательных к наличию для реализации в торговом объекте (прилагается).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Приложение: на ___ л. в 1 экз.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2335"/>
        <w:gridCol w:w="145"/>
        <w:gridCol w:w="3073"/>
      </w:tblGrid>
      <w:tr w:rsidR="005E466C" w:rsidRPr="005E466C" w:rsidTr="005E466C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E466C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5E466C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5E466C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 _______________ 20 __ г.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4526"/>
      </w:tblGrid>
      <w:tr w:rsidR="005E466C" w:rsidRPr="005E466C" w:rsidTr="005E466C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>Приложение 2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5E466C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8.3.2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«Согласование перечня товаров,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обязательных к наличию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для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реализации в торговом объекте»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br/>
              <w:t>29.11.2022 №</w:t>
            </w: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5E466C">
              <w:rPr>
                <w:color w:val="auto"/>
                <w:sz w:val="22"/>
                <w:szCs w:val="22"/>
                <w:lang w:eastAsia="en-US"/>
              </w:rPr>
              <w:t xml:space="preserve">79) 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5E466C">
        <w:rPr>
          <w:color w:val="auto"/>
          <w:sz w:val="22"/>
          <w:szCs w:val="22"/>
          <w:lang w:eastAsia="en-US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2042"/>
        <w:gridCol w:w="291"/>
        <w:gridCol w:w="2930"/>
      </w:tblGrid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УТВЕРЖДАЮ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13" w:firstLine="0"/>
              <w:jc w:val="both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 xml:space="preserve">(должность руководителя юридического лица 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81" w:firstLine="0"/>
              <w:jc w:val="both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(уполномоченного им лица) либо фамилия, собственное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949" w:firstLine="0"/>
              <w:jc w:val="both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имя, отчество (если таковое имеется)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005" w:firstLine="0"/>
              <w:jc w:val="both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индивидуального предпринимателя)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0" w:firstLine="0"/>
              <w:jc w:val="both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18" w:firstLine="0"/>
              <w:jc w:val="both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(инициалы, фамилия)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</w:tr>
      <w:tr w:rsidR="005E466C" w:rsidRPr="005E466C" w:rsidTr="005E466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2"/>
                <w:szCs w:val="22"/>
                <w:lang w:val="en-US" w:eastAsia="en-US"/>
              </w:rPr>
            </w:pPr>
            <w:r w:rsidRPr="005E466C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73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 ___________ 20____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5E466C">
        <w:rPr>
          <w:b/>
          <w:bCs/>
          <w:color w:val="auto"/>
          <w:sz w:val="24"/>
          <w:szCs w:val="24"/>
          <w:lang w:eastAsia="en-US"/>
        </w:rPr>
        <w:t>ПЕРЕЧЕНЬ</w:t>
      </w:r>
      <w:r w:rsidRPr="005E466C">
        <w:rPr>
          <w:b/>
          <w:bCs/>
          <w:color w:val="auto"/>
          <w:sz w:val="24"/>
          <w:szCs w:val="24"/>
          <w:lang w:eastAsia="en-US"/>
        </w:rPr>
        <w:br/>
        <w:t>товаров, обязательных к наличию для реализации в торговом объекте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(вид в зависимости от формата</w:t>
      </w:r>
      <w:r w:rsidRPr="005E466C">
        <w:rPr>
          <w:color w:val="auto"/>
          <w:vertAlign w:val="superscript"/>
          <w:lang w:eastAsia="en-US"/>
        </w:rPr>
        <w:t>1</w:t>
      </w:r>
      <w:r w:rsidRPr="005E466C">
        <w:rPr>
          <w:color w:val="auto"/>
          <w:lang w:eastAsia="en-US"/>
        </w:rPr>
        <w:t xml:space="preserve"> и наименование (при наличии) торгового объекта,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вид в зависимости от ассортимента товаров</w:t>
      </w:r>
      <w:r w:rsidRPr="005E466C">
        <w:rPr>
          <w:color w:val="auto"/>
          <w:vertAlign w:val="superscript"/>
          <w:lang w:eastAsia="en-US"/>
        </w:rPr>
        <w:t>1</w:t>
      </w:r>
      <w:r w:rsidRPr="005E466C">
        <w:rPr>
          <w:color w:val="auto"/>
          <w:lang w:eastAsia="en-US"/>
        </w:rPr>
        <w:t xml:space="preserve"> и тип магазина</w:t>
      </w:r>
      <w:r w:rsidRPr="005E466C">
        <w:rPr>
          <w:color w:val="auto"/>
          <w:vertAlign w:val="superscript"/>
          <w:lang w:eastAsia="en-US"/>
        </w:rPr>
        <w:t>1</w:t>
      </w:r>
      <w:r w:rsidRPr="005E466C">
        <w:rPr>
          <w:color w:val="auto"/>
          <w:lang w:eastAsia="en-US"/>
        </w:rPr>
        <w:t>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размер торговой площади магазина (павильона), в том числе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отведенной для реализации продовольственных товаров и непродовольственных товаров,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место нахождения (маршрут движения) торгового объекта,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полное наименование юридического лица либо фамилия, собственное имя,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5E466C">
        <w:rPr>
          <w:color w:val="auto"/>
          <w:lang w:eastAsia="en-US"/>
        </w:rPr>
        <w:t>отчество (если таковое имеется) индивидуального предпринимателя)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5E466C">
        <w:rPr>
          <w:b/>
          <w:bCs/>
          <w:color w:val="auto"/>
          <w:sz w:val="24"/>
          <w:szCs w:val="24"/>
          <w:lang w:eastAsia="en-US"/>
        </w:rPr>
        <w:t>Перечень 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"/>
        <w:gridCol w:w="2386"/>
        <w:gridCol w:w="3420"/>
        <w:gridCol w:w="3418"/>
      </w:tblGrid>
      <w:tr w:rsidR="005E466C" w:rsidRPr="005E466C" w:rsidTr="005E466C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№</w:t>
            </w:r>
            <w:r w:rsidRPr="005E466C">
              <w:rPr>
                <w:color w:val="auto"/>
                <w:lang w:val="en-US" w:eastAsia="en-US"/>
              </w:rP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Группа (подгруппа)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вид товаров</w:t>
            </w:r>
            <w:r w:rsidRPr="005E466C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Признаки разновидностей</w:t>
            </w:r>
            <w:r w:rsidRPr="005E466C">
              <w:rPr>
                <w:color w:val="auto"/>
                <w:vertAlign w:val="superscript"/>
                <w:lang w:val="en-US" w:eastAsia="en-US"/>
              </w:rPr>
              <w:t>2</w:t>
            </w:r>
            <w:r w:rsidRPr="005E466C">
              <w:rPr>
                <w:color w:val="auto"/>
                <w:lang w:val="en-US" w:eastAsia="en-US"/>
              </w:rP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Количество разновидностей</w:t>
            </w:r>
            <w:r w:rsidRPr="005E466C">
              <w:rPr>
                <w:color w:val="auto"/>
                <w:vertAlign w:val="superscript"/>
                <w:lang w:val="en-US" w:eastAsia="en-US"/>
              </w:rPr>
              <w:t>3</w:t>
            </w:r>
          </w:p>
        </w:tc>
      </w:tr>
      <w:tr w:rsidR="005E466C" w:rsidRPr="005E466C" w:rsidTr="005E466C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</w:tr>
      <w:tr w:rsidR="005E466C" w:rsidRPr="005E466C" w:rsidTr="005E466C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5E466C">
        <w:rPr>
          <w:b/>
          <w:bCs/>
          <w:color w:val="auto"/>
          <w:sz w:val="24"/>
          <w:szCs w:val="24"/>
          <w:lang w:eastAsia="en-US"/>
        </w:rPr>
        <w:t>Перечень непродовольственных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"/>
        <w:gridCol w:w="2386"/>
        <w:gridCol w:w="3420"/>
        <w:gridCol w:w="3418"/>
      </w:tblGrid>
      <w:tr w:rsidR="005E466C" w:rsidRPr="005E466C" w:rsidTr="005E466C">
        <w:trPr>
          <w:trHeight w:val="240"/>
        </w:trPr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№</w:t>
            </w:r>
            <w:r w:rsidRPr="005E466C">
              <w:rPr>
                <w:color w:val="auto"/>
                <w:lang w:val="en-US" w:eastAsia="en-US"/>
              </w:rPr>
              <w:br/>
              <w:t>п/п</w:t>
            </w: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Группа (подгруппа)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(или) вид товаров</w:t>
            </w:r>
            <w:r w:rsidRPr="005E466C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Признаки разновидностей</w:t>
            </w:r>
            <w:r w:rsidRPr="005E466C">
              <w:rPr>
                <w:color w:val="auto"/>
                <w:vertAlign w:val="superscript"/>
                <w:lang w:val="en-US" w:eastAsia="en-US"/>
              </w:rPr>
              <w:t>2</w:t>
            </w:r>
            <w:r w:rsidRPr="005E466C">
              <w:rPr>
                <w:color w:val="auto"/>
                <w:lang w:val="en-US" w:eastAsia="en-US"/>
              </w:rPr>
              <w:t xml:space="preserve"> (при наличии)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Количество разновидностей</w:t>
            </w:r>
            <w:r w:rsidRPr="005E466C">
              <w:rPr>
                <w:color w:val="auto"/>
                <w:vertAlign w:val="superscript"/>
                <w:lang w:val="en-US" w:eastAsia="en-US"/>
              </w:rPr>
              <w:t>3</w:t>
            </w:r>
          </w:p>
        </w:tc>
      </w:tr>
      <w:tr w:rsidR="005E466C" w:rsidRPr="005E466C" w:rsidTr="005E466C">
        <w:trPr>
          <w:trHeight w:val="240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</w:tr>
      <w:tr w:rsidR="005E466C" w:rsidRPr="005E466C" w:rsidTr="005E466C">
        <w:trPr>
          <w:trHeight w:val="240"/>
        </w:trPr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5E466C">
        <w:rPr>
          <w:color w:val="auto"/>
          <w:sz w:val="22"/>
          <w:szCs w:val="22"/>
          <w:lang w:eastAsia="en-US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147"/>
        <w:gridCol w:w="2101"/>
        <w:gridCol w:w="231"/>
        <w:gridCol w:w="2493"/>
      </w:tblGrid>
      <w:tr w:rsidR="005E466C" w:rsidRPr="005E466C" w:rsidTr="005E466C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5E466C">
              <w:rPr>
                <w:color w:val="auto"/>
                <w:sz w:val="24"/>
                <w:szCs w:val="24"/>
                <w:lang w:val="en-US" w:eastAsia="en-US"/>
              </w:rPr>
              <w:t>____________________</w:t>
            </w:r>
          </w:p>
        </w:tc>
      </w:tr>
      <w:tr w:rsidR="005E466C" w:rsidRPr="005E466C" w:rsidTr="005E466C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(наименование должности лица, осуществляющего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372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согласование, включающее наименование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9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уполномоченного органа, либо название вида,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372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дата и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регистрационный индекс документа</w:t>
            </w:r>
          </w:p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414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eastAsia="en-US"/>
              </w:rPr>
              <w:t>уполномоченного органа о</w:t>
            </w:r>
            <w:r w:rsidRPr="005E466C">
              <w:rPr>
                <w:color w:val="auto"/>
                <w:lang w:val="en-US" w:eastAsia="en-US"/>
              </w:rPr>
              <w:t> </w:t>
            </w:r>
            <w:r w:rsidRPr="005E466C">
              <w:rPr>
                <w:color w:val="auto"/>
                <w:lang w:eastAsia="en-US"/>
              </w:rPr>
              <w:t>согласовании)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466C" w:rsidRPr="005E466C" w:rsidRDefault="005E466C" w:rsidP="005E466C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291" w:firstLine="0"/>
              <w:jc w:val="right"/>
              <w:rPr>
                <w:color w:val="auto"/>
                <w:lang w:val="en-US" w:eastAsia="en-US"/>
              </w:rPr>
            </w:pPr>
            <w:r w:rsidRPr="005E466C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5245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М.П.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 xml:space="preserve">___ ____________ 20____ 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5E466C">
        <w:rPr>
          <w:color w:val="auto"/>
          <w:lang w:eastAsia="en-US"/>
        </w:rPr>
        <w:t>______________________________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5E466C">
        <w:rPr>
          <w:color w:val="auto"/>
          <w:vertAlign w:val="superscript"/>
          <w:lang w:eastAsia="en-US"/>
        </w:rPr>
        <w:t xml:space="preserve">1 </w:t>
      </w:r>
      <w:r w:rsidRPr="005E466C">
        <w:rPr>
          <w:color w:val="auto"/>
          <w:lang w:eastAsia="en-US"/>
        </w:rPr>
        <w:t>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5E466C">
        <w:rPr>
          <w:color w:val="auto"/>
          <w:vertAlign w:val="superscript"/>
          <w:lang w:eastAsia="en-US"/>
        </w:rPr>
        <w:t xml:space="preserve">2 </w:t>
      </w:r>
      <w:r w:rsidRPr="005E466C">
        <w:rPr>
          <w:color w:val="auto"/>
          <w:lang w:eastAsia="en-US"/>
        </w:rPr>
        <w:t>В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5E466C">
        <w:rPr>
          <w:color w:val="auto"/>
          <w:vertAlign w:val="superscript"/>
          <w:lang w:eastAsia="en-US"/>
        </w:rPr>
        <w:t xml:space="preserve">3 </w:t>
      </w:r>
      <w:r w:rsidRPr="005E466C">
        <w:rPr>
          <w:color w:val="auto"/>
          <w:lang w:eastAsia="en-US"/>
        </w:rPr>
        <w:t>Указывается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5E466C" w:rsidRPr="005E466C" w:rsidRDefault="005E466C" w:rsidP="005E466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5E466C">
        <w:rPr>
          <w:color w:val="auto"/>
          <w:sz w:val="24"/>
          <w:szCs w:val="24"/>
          <w:lang w:eastAsia="en-US"/>
        </w:rPr>
        <w:t> </w:t>
      </w:r>
    </w:p>
    <w:p w:rsidR="00EB078F" w:rsidRPr="009C419C" w:rsidRDefault="00EB078F" w:rsidP="009C419C">
      <w:bookmarkStart w:id="0" w:name="_GoBack"/>
      <w:bookmarkEnd w:id="0"/>
    </w:p>
    <w:sectPr w:rsidR="00EB078F" w:rsidRPr="009C419C" w:rsidSect="009C1A48">
      <w:headerReference w:type="even" r:id="rId8"/>
      <w:pgSz w:w="11879" w:h="16840" w:code="9"/>
      <w:pgMar w:top="538" w:right="539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CC" w:rsidRDefault="00EC5DC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EC5DCC" w:rsidRDefault="00EC5DC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CC" w:rsidRDefault="00EC5DC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EC5DCC" w:rsidRDefault="00EC5DC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466C"/>
    <w:rsid w:val="005E50B7"/>
    <w:rsid w:val="005E6CC0"/>
    <w:rsid w:val="005F14B7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14888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DE1"/>
    <w:rsid w:val="007B4706"/>
    <w:rsid w:val="007B50AC"/>
    <w:rsid w:val="007B6922"/>
    <w:rsid w:val="007C1AE2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A91"/>
    <w:rsid w:val="00EC4ECD"/>
    <w:rsid w:val="00EC5DCC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left="0" w:right="360" w:firstLine="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agree">
    <w:name w:val="agree"/>
    <w:basedOn w:val="a1"/>
    <w:rsid w:val="005E466C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titleu">
    <w:name w:val="titleu"/>
    <w:basedOn w:val="a1"/>
    <w:rsid w:val="005E466C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b/>
      <w:bCs/>
      <w:color w:val="auto"/>
      <w:sz w:val="24"/>
      <w:szCs w:val="24"/>
      <w:lang w:val="en-US" w:eastAsia="en-US"/>
    </w:rPr>
  </w:style>
  <w:style w:type="paragraph" w:customStyle="1" w:styleId="underpoint">
    <w:name w:val="underpoint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preamble">
    <w:name w:val="preamble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noski">
    <w:name w:val="snoski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snoskiline">
    <w:name w:val="snoskiline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nonumheader">
    <w:name w:val="nonumheader"/>
    <w:basedOn w:val="a1"/>
    <w:rsid w:val="005E466C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changeadd">
    <w:name w:val="changeadd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cap1">
    <w:name w:val="cap1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capu1">
    <w:name w:val="capu1"/>
    <w:basedOn w:val="a1"/>
    <w:rsid w:val="005E466C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edizmeren">
    <w:name w:val="edizmeren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color w:val="auto"/>
      <w:lang w:val="en-US" w:eastAsia="en-US"/>
    </w:rPr>
  </w:style>
  <w:style w:type="paragraph" w:customStyle="1" w:styleId="underline">
    <w:name w:val="underline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endform">
    <w:name w:val="endform"/>
    <w:basedOn w:val="a1"/>
    <w:rsid w:val="005E466C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character" w:customStyle="1" w:styleId="post">
    <w:name w:val="post"/>
    <w:basedOn w:val="a4"/>
    <w:rsid w:val="005E46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4"/>
    <w:rsid w:val="005E466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1630-908F-49CD-8BE5-8980B672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2024-08-06T09:54:00Z</dcterms:created>
  <dcterms:modified xsi:type="dcterms:W3CDTF">2024-08-06T09:54:00Z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